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A" w:rsidRDefault="0049510A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F617B1" w:rsidRPr="0049510A" w:rsidRDefault="00F617B1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F617B1" w:rsidRPr="00F617B1" w:rsidRDefault="00F617B1" w:rsidP="00F617B1">
      <w:pPr>
        <w:pStyle w:val="Heading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1.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According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to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Art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. 4 (1),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point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(cc)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of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Commission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Regulation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(EU)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No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651/2014,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two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thresholds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apply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investment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aid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local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infrastructures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– EUR 11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million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aid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color w:val="000000"/>
          <w:sz w:val="21"/>
          <w:szCs w:val="21"/>
        </w:rPr>
        <w:t>or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total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costs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exceeding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EUR 22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million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same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infrastructure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.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Do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we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understand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correctly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that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:</w:t>
      </w:r>
    </w:p>
    <w:p w:rsidR="00F617B1" w:rsidRPr="00F617B1" w:rsidRDefault="00F617B1" w:rsidP="00F617B1">
      <w:pPr>
        <w:pStyle w:val="Heading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1.1.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threshold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of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EUR 11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million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is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aid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to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aid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beneficiary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,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at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group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level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,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all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activities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within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same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infrastructure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project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(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one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and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same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industrial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park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project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),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when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aid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scheme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local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infrastructures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is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construction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of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internal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technical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infrastructure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within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boundaries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of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industrial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parks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);</w:t>
      </w:r>
    </w:p>
    <w:p w:rsidR="00F617B1" w:rsidRPr="00F617B1" w:rsidRDefault="00F617B1" w:rsidP="00F617B1">
      <w:pPr>
        <w:pStyle w:val="Heading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1.2.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Industrial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parks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located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in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different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NUTS3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regions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,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owned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/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operated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by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one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and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same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aid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beneficiary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,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at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group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level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,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are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different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investment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projects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(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different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local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infrastructures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)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and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in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that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case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thresholds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of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11/22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million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euros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apply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separately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each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of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them</w:t>
      </w:r>
      <w:proofErr w:type="spellEnd"/>
      <w:r w:rsidRPr="00F617B1">
        <w:rPr>
          <w:rFonts w:ascii="Arial" w:hAnsi="Arial" w:cs="Arial"/>
          <w:b w:val="0"/>
          <w:bCs w:val="0"/>
          <w:iCs/>
          <w:color w:val="000000"/>
          <w:sz w:val="21"/>
          <w:szCs w:val="21"/>
        </w:rPr>
        <w:t>?;</w:t>
      </w:r>
    </w:p>
    <w:p w:rsidR="0049510A" w:rsidRPr="00F617B1" w:rsidRDefault="00F617B1" w:rsidP="00F617B1">
      <w:pPr>
        <w:pStyle w:val="NormalWeb"/>
        <w:spacing w:before="0"/>
        <w:jc w:val="both"/>
        <w:rPr>
          <w:rFonts w:ascii="Arial" w:hAnsi="Arial" w:cs="Arial"/>
          <w:color w:val="000000"/>
          <w:sz w:val="21"/>
          <w:szCs w:val="21"/>
        </w:rPr>
      </w:pPr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2.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term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"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total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costs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...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same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infrastructure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"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envisages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total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investment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costs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one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and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same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investment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project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a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local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infrastructure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under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Art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>. 56 (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one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and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same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industrial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park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),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which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includes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sum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of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eligible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and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ineligible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costs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,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i.e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.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entire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amount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of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relevant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hAnsi="Arial" w:cs="Arial"/>
          <w:iCs/>
          <w:color w:val="000000"/>
          <w:sz w:val="21"/>
          <w:szCs w:val="21"/>
        </w:rPr>
        <w:t>investment</w:t>
      </w:r>
      <w:proofErr w:type="spellEnd"/>
      <w:r w:rsidRPr="00F617B1">
        <w:rPr>
          <w:rFonts w:ascii="Arial" w:hAnsi="Arial" w:cs="Arial"/>
          <w:iCs/>
          <w:color w:val="000000"/>
          <w:sz w:val="21"/>
          <w:szCs w:val="21"/>
        </w:rPr>
        <w:t>?</w:t>
      </w:r>
    </w:p>
    <w:p w:rsidR="00AC2A6A" w:rsidRDefault="00AC2A6A" w:rsidP="00F617B1">
      <w:pPr>
        <w:spacing w:after="0" w:line="240" w:lineRule="auto"/>
        <w:jc w:val="both"/>
        <w:rPr>
          <w:lang w:val="en-US"/>
        </w:rPr>
      </w:pPr>
    </w:p>
    <w:p w:rsidR="00F617B1" w:rsidRDefault="00F617B1" w:rsidP="00F617B1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</w:p>
    <w:p w:rsidR="0049510A" w:rsidRDefault="0049510A" w:rsidP="00F617B1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bookmarkStart w:id="0" w:name="_GoBack"/>
      <w:bookmarkEnd w:id="0"/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F617B1" w:rsidRPr="0049510A" w:rsidRDefault="00F617B1" w:rsidP="00F617B1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</w:p>
    <w:p w:rsidR="00F617B1" w:rsidRPr="00F617B1" w:rsidRDefault="00F617B1" w:rsidP="00F617B1">
      <w:pPr>
        <w:pStyle w:val="NormalWeb"/>
        <w:spacing w:before="0"/>
        <w:jc w:val="both"/>
        <w:rPr>
          <w:rFonts w:ascii="Arial" w:eastAsiaTheme="minorHAnsi" w:hAnsi="Arial" w:cs="Arial"/>
          <w:iCs/>
          <w:color w:val="000000"/>
          <w:sz w:val="21"/>
          <w:szCs w:val="21"/>
        </w:rPr>
      </w:pP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Article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4(1)(cc) GBER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sets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out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that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GBER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shall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not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apply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to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aid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which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exceeds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following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thresholds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: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investment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aid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local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infrastructures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: EUR 11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million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or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total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costs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exceeding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EUR 22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million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same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infrastructure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.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This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means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that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any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aid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provided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under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GBER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Article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56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cannot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exceed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EUR 11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million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per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local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infrastructure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nor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can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it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concern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a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local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infrastructure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which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total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costs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exceeds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EUR 22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million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.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Contrary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to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many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other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notification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thresholds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,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thresholds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in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Article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4(1)(cc)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do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not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refer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to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“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per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beneficiary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”,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but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they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apply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b/>
          <w:bCs/>
          <w:iCs/>
          <w:color w:val="000000"/>
          <w:sz w:val="21"/>
          <w:szCs w:val="21"/>
        </w:rPr>
        <w:t>per</w:t>
      </w:r>
      <w:proofErr w:type="spellEnd"/>
      <w:r w:rsidRPr="00F617B1">
        <w:rPr>
          <w:rFonts w:ascii="Arial" w:eastAsiaTheme="minorHAnsi" w:hAnsi="Arial" w:cs="Arial"/>
          <w:b/>
          <w:bCs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b/>
          <w:bCs/>
          <w:iCs/>
          <w:color w:val="000000"/>
          <w:sz w:val="21"/>
          <w:szCs w:val="21"/>
        </w:rPr>
        <w:t>infrastructure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,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i.e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.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if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several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undertakings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construct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one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infrastructure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together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thresholds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apply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all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of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them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together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.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limit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of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EUR 22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million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total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costs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includes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b/>
          <w:bCs/>
          <w:iCs/>
          <w:color w:val="000000"/>
          <w:sz w:val="21"/>
          <w:szCs w:val="21"/>
        </w:rPr>
        <w:t>all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costs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for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the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project</w:t>
      </w:r>
      <w:proofErr w:type="spellEnd"/>
      <w:r w:rsidRPr="00F617B1">
        <w:rPr>
          <w:rFonts w:ascii="Arial" w:eastAsiaTheme="minorHAnsi" w:hAnsi="Arial" w:cs="Arial"/>
          <w:iCs/>
          <w:color w:val="000000"/>
          <w:sz w:val="21"/>
          <w:szCs w:val="21"/>
        </w:rPr>
        <w:t>.</w:t>
      </w:r>
    </w:p>
    <w:p w:rsidR="0049510A" w:rsidRPr="0049510A" w:rsidRDefault="0049510A" w:rsidP="00F617B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49510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49510A" w:rsidRPr="0049510A" w:rsidRDefault="0049510A" w:rsidP="00F617B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Disclaimer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: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reply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does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represent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a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formal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definite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position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European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Commission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but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only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informal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guidance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provided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services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DG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Competition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to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facilitate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application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GBER.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therefore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binding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cannot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create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certainty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or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legitimate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expectations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. </w:t>
      </w:r>
    </w:p>
    <w:p w:rsidR="0049510A" w:rsidRPr="0049510A" w:rsidRDefault="0049510A" w:rsidP="0049510A">
      <w:pPr>
        <w:jc w:val="both"/>
        <w:rPr>
          <w:lang w:val="en-US"/>
        </w:rPr>
      </w:pPr>
    </w:p>
    <w:sectPr w:rsidR="0049510A" w:rsidRPr="0049510A" w:rsidSect="00AF5460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9D"/>
    <w:rsid w:val="000F6CFD"/>
    <w:rsid w:val="002153EB"/>
    <w:rsid w:val="00221E3F"/>
    <w:rsid w:val="0049510A"/>
    <w:rsid w:val="00517436"/>
    <w:rsid w:val="005314FC"/>
    <w:rsid w:val="00593E86"/>
    <w:rsid w:val="005C3602"/>
    <w:rsid w:val="0064124D"/>
    <w:rsid w:val="007E2E7E"/>
    <w:rsid w:val="00911B9D"/>
    <w:rsid w:val="0091503B"/>
    <w:rsid w:val="00AC2A6A"/>
    <w:rsid w:val="00AF5460"/>
    <w:rsid w:val="00CA04BA"/>
    <w:rsid w:val="00D24972"/>
    <w:rsid w:val="00D45754"/>
    <w:rsid w:val="00D53A42"/>
    <w:rsid w:val="00D73809"/>
    <w:rsid w:val="00DC4A07"/>
    <w:rsid w:val="00E93701"/>
    <w:rsid w:val="00EC524B"/>
    <w:rsid w:val="00F6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22EF"/>
  <w15:docId w15:val="{51C06E52-7978-4E53-9636-7BF50CFC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F617B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character" w:customStyle="1" w:styleId="Heading5Char">
    <w:name w:val="Heading 5 Char"/>
    <w:basedOn w:val="DefaultParagraphFont"/>
    <w:link w:val="Heading5"/>
    <w:uiPriority w:val="9"/>
    <w:semiHidden/>
    <w:rsid w:val="00F617B1"/>
    <w:rPr>
      <w:rFonts w:ascii="Times New Roman" w:hAnsi="Times New Roman" w:cs="Times New Roman"/>
      <w:b/>
      <w:bCs/>
      <w:sz w:val="20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F61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3</cp:revision>
  <dcterms:created xsi:type="dcterms:W3CDTF">2024-02-12T11:36:00Z</dcterms:created>
  <dcterms:modified xsi:type="dcterms:W3CDTF">2024-02-12T11:38:00Z</dcterms:modified>
</cp:coreProperties>
</file>