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176F4C" w:rsidRPr="00554737" w14:paraId="6A8B57A4" w14:textId="77777777" w:rsidTr="00BA5A99">
        <w:trPr>
          <w:trHeight w:hRule="exact" w:val="1440"/>
        </w:trPr>
        <w:tc>
          <w:tcPr>
            <w:tcW w:w="2268" w:type="dxa"/>
          </w:tcPr>
          <w:p w14:paraId="295DB1AB" w14:textId="77777777" w:rsidR="00176F4C" w:rsidRPr="00554737" w:rsidRDefault="00176F4C" w:rsidP="00BA5A99">
            <w:pPr>
              <w:spacing w:after="0" w:line="240" w:lineRule="auto"/>
              <w:rPr>
                <w:rFonts w:ascii="Times New Roman" w:eastAsia="Times New Roman" w:hAnsi="Times New Roman"/>
                <w:sz w:val="24"/>
                <w:szCs w:val="24"/>
                <w:lang w:eastAsia="en-GB"/>
              </w:rPr>
            </w:pPr>
            <w:r>
              <w:rPr>
                <w:rFonts w:ascii="Times New Roman" w:eastAsia="Times New Roman" w:hAnsi="Times New Roman"/>
                <w:noProof/>
                <w:sz w:val="20"/>
                <w:szCs w:val="20"/>
                <w:lang w:val="fr-BE" w:eastAsia="fr-BE"/>
              </w:rPr>
              <w:drawing>
                <wp:inline distT="0" distB="0" distL="0" distR="0" wp14:anchorId="7EAE0C89" wp14:editId="7623DB6D">
                  <wp:extent cx="1363980" cy="678180"/>
                  <wp:effectExtent l="0" t="0" r="7620" b="762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655" w:type="dxa"/>
          </w:tcPr>
          <w:p w14:paraId="0A75C23E" w14:textId="77777777" w:rsidR="00176F4C" w:rsidRPr="00554737" w:rsidRDefault="00176F4C" w:rsidP="00BA5A99">
            <w:pPr>
              <w:spacing w:after="0" w:line="240" w:lineRule="auto"/>
              <w:ind w:right="85"/>
              <w:jc w:val="both"/>
              <w:rPr>
                <w:rFonts w:ascii="Arial" w:eastAsia="Times New Roman" w:hAnsi="Arial"/>
                <w:snapToGrid w:val="0"/>
                <w:sz w:val="24"/>
                <w:szCs w:val="20"/>
              </w:rPr>
            </w:pPr>
            <w:r w:rsidRPr="00554737">
              <w:rPr>
                <w:rFonts w:ascii="Arial" w:eastAsia="Times New Roman" w:hAnsi="Arial"/>
                <w:snapToGrid w:val="0"/>
                <w:sz w:val="24"/>
                <w:szCs w:val="20"/>
              </w:rPr>
              <w:t>EUROPEAN COMMISSION</w:t>
            </w:r>
          </w:p>
          <w:p w14:paraId="62A9852F" w14:textId="77777777" w:rsidR="00176F4C" w:rsidRPr="00554737" w:rsidRDefault="00176F4C" w:rsidP="00BA5A99">
            <w:pPr>
              <w:spacing w:after="0" w:line="240" w:lineRule="auto"/>
              <w:ind w:right="85"/>
              <w:jc w:val="both"/>
              <w:rPr>
                <w:rFonts w:ascii="Arial" w:eastAsia="Times New Roman" w:hAnsi="Arial"/>
                <w:snapToGrid w:val="0"/>
                <w:sz w:val="16"/>
                <w:szCs w:val="20"/>
              </w:rPr>
            </w:pPr>
            <w:r w:rsidRPr="00554737">
              <w:rPr>
                <w:rFonts w:ascii="Arial" w:eastAsia="Times New Roman" w:hAnsi="Arial"/>
                <w:snapToGrid w:val="0"/>
                <w:sz w:val="16"/>
                <w:szCs w:val="20"/>
              </w:rPr>
              <w:t>Competition DG</w:t>
            </w:r>
          </w:p>
          <w:p w14:paraId="1C6752EA" w14:textId="77777777" w:rsidR="00176F4C" w:rsidRPr="00554737" w:rsidRDefault="00176F4C" w:rsidP="00BA5A99">
            <w:pPr>
              <w:spacing w:after="0" w:line="240" w:lineRule="auto"/>
              <w:ind w:right="85"/>
              <w:jc w:val="both"/>
              <w:rPr>
                <w:rFonts w:ascii="Arial" w:eastAsia="Times New Roman" w:hAnsi="Arial"/>
                <w:snapToGrid w:val="0"/>
                <w:sz w:val="16"/>
                <w:szCs w:val="20"/>
              </w:rPr>
            </w:pPr>
          </w:p>
          <w:p w14:paraId="42E491A1" w14:textId="77777777" w:rsidR="00176F4C" w:rsidRPr="00554737" w:rsidRDefault="00176F4C" w:rsidP="00BA5A99">
            <w:pPr>
              <w:spacing w:after="0" w:line="240" w:lineRule="auto"/>
              <w:ind w:right="85"/>
              <w:jc w:val="both"/>
              <w:rPr>
                <w:rFonts w:ascii="Arial" w:eastAsia="Times New Roman" w:hAnsi="Arial"/>
                <w:snapToGrid w:val="0"/>
                <w:sz w:val="16"/>
                <w:szCs w:val="20"/>
              </w:rPr>
            </w:pPr>
            <w:r>
              <w:rPr>
                <w:rFonts w:ascii="Arial" w:eastAsia="Times New Roman" w:hAnsi="Arial"/>
                <w:snapToGrid w:val="0"/>
                <w:sz w:val="16"/>
                <w:szCs w:val="20"/>
              </w:rPr>
              <w:t>Policy and Strategy</w:t>
            </w:r>
          </w:p>
          <w:p w14:paraId="55B3B749" w14:textId="77777777" w:rsidR="00176F4C" w:rsidRPr="00554737" w:rsidRDefault="00176F4C" w:rsidP="00BA5A99">
            <w:pPr>
              <w:spacing w:after="0" w:line="240" w:lineRule="auto"/>
              <w:ind w:right="85"/>
              <w:jc w:val="both"/>
              <w:rPr>
                <w:rFonts w:ascii="Arial" w:eastAsia="Times New Roman" w:hAnsi="Arial"/>
                <w:snapToGrid w:val="0"/>
                <w:sz w:val="16"/>
                <w:szCs w:val="20"/>
              </w:rPr>
            </w:pPr>
            <w:r w:rsidRPr="009F551E">
              <w:rPr>
                <w:rFonts w:ascii="Arial" w:eastAsia="Times New Roman" w:hAnsi="Arial"/>
                <w:snapToGrid w:val="0"/>
                <w:sz w:val="16"/>
                <w:szCs w:val="20"/>
              </w:rPr>
              <w:t>State aid case support and policy</w:t>
            </w:r>
          </w:p>
        </w:tc>
      </w:tr>
    </w:tbl>
    <w:p w14:paraId="32B43B44" w14:textId="2C5D2718" w:rsidR="00176F4C" w:rsidRPr="00554737" w:rsidRDefault="00176F4C" w:rsidP="00176F4C">
      <w:pPr>
        <w:spacing w:after="0" w:line="240" w:lineRule="auto"/>
        <w:ind w:left="5103" w:right="-567"/>
        <w:rPr>
          <w:rFonts w:ascii="Times New Roman" w:eastAsia="Times New Roman" w:hAnsi="Times New Roman"/>
          <w:sz w:val="24"/>
          <w:szCs w:val="20"/>
          <w:lang w:eastAsia="en-GB"/>
        </w:rPr>
      </w:pPr>
      <w:r w:rsidRPr="00554737">
        <w:rPr>
          <w:rFonts w:ascii="Times New Roman" w:eastAsia="Times New Roman" w:hAnsi="Times New Roman"/>
          <w:sz w:val="24"/>
          <w:szCs w:val="20"/>
          <w:lang w:eastAsia="en-GB"/>
        </w:rPr>
        <w:t xml:space="preserve">Brussels, </w:t>
      </w:r>
      <w:r>
        <w:rPr>
          <w:rFonts w:ascii="Times New Roman" w:eastAsia="Times New Roman" w:hAnsi="Times New Roman"/>
          <w:sz w:val="24"/>
          <w:szCs w:val="20"/>
          <w:lang w:eastAsia="en-GB"/>
        </w:rPr>
        <w:t>0</w:t>
      </w:r>
      <w:r w:rsidR="00DE080F">
        <w:rPr>
          <w:rFonts w:ascii="Times New Roman" w:eastAsia="Times New Roman" w:hAnsi="Times New Roman"/>
          <w:sz w:val="24"/>
          <w:szCs w:val="20"/>
          <w:lang w:eastAsia="en-GB"/>
        </w:rPr>
        <w:t>5</w:t>
      </w:r>
      <w:r>
        <w:rPr>
          <w:rFonts w:ascii="Times New Roman" w:eastAsia="Times New Roman" w:hAnsi="Times New Roman"/>
          <w:sz w:val="24"/>
          <w:szCs w:val="20"/>
          <w:lang w:eastAsia="en-GB"/>
        </w:rPr>
        <w:t>.02.2024</w:t>
      </w:r>
    </w:p>
    <w:p w14:paraId="19EC1023" w14:textId="77777777" w:rsidR="00DE080F" w:rsidRPr="00DE080F" w:rsidRDefault="00176F4C" w:rsidP="00DE080F">
      <w:pPr>
        <w:spacing w:after="0" w:line="240" w:lineRule="auto"/>
        <w:ind w:left="5103" w:right="-567"/>
        <w:rPr>
          <w:rFonts w:ascii="Times New Roman" w:eastAsia="Times New Roman" w:hAnsi="Times New Roman"/>
          <w:sz w:val="24"/>
          <w:szCs w:val="24"/>
        </w:rPr>
      </w:pPr>
      <w:r>
        <w:rPr>
          <w:rFonts w:ascii="Arial Narrow" w:eastAsia="Times New Roman" w:hAnsi="Arial Narrow"/>
          <w:sz w:val="24"/>
          <w:szCs w:val="20"/>
        </w:rPr>
        <w:br/>
      </w:r>
      <w:proofErr w:type="spellStart"/>
      <w:r w:rsidR="00DE080F" w:rsidRPr="00DE080F">
        <w:rPr>
          <w:rFonts w:ascii="Times New Roman" w:eastAsia="Times New Roman" w:hAnsi="Times New Roman"/>
          <w:sz w:val="24"/>
          <w:szCs w:val="24"/>
        </w:rPr>
        <w:t>Методи</w:t>
      </w:r>
      <w:proofErr w:type="spellEnd"/>
      <w:r w:rsidR="00DE080F" w:rsidRPr="00DE080F">
        <w:rPr>
          <w:rFonts w:ascii="Times New Roman" w:eastAsia="Times New Roman" w:hAnsi="Times New Roman"/>
          <w:sz w:val="24"/>
          <w:szCs w:val="24"/>
        </w:rPr>
        <w:t xml:space="preserve"> </w:t>
      </w:r>
      <w:proofErr w:type="spellStart"/>
      <w:r w:rsidR="00DE080F" w:rsidRPr="00DE080F">
        <w:rPr>
          <w:rFonts w:ascii="Times New Roman" w:eastAsia="Times New Roman" w:hAnsi="Times New Roman"/>
          <w:sz w:val="24"/>
          <w:szCs w:val="24"/>
        </w:rPr>
        <w:t>Методиев</w:t>
      </w:r>
      <w:proofErr w:type="spellEnd"/>
    </w:p>
    <w:p w14:paraId="18DFA1D0" w14:textId="77777777" w:rsidR="00DE080F" w:rsidRPr="00DE080F" w:rsidRDefault="00DE080F" w:rsidP="00DE080F">
      <w:pPr>
        <w:spacing w:after="0" w:line="240" w:lineRule="auto"/>
        <w:ind w:left="5103" w:right="-567"/>
        <w:rPr>
          <w:rFonts w:ascii="Times New Roman" w:eastAsia="Times New Roman" w:hAnsi="Times New Roman"/>
          <w:sz w:val="24"/>
          <w:szCs w:val="24"/>
        </w:rPr>
      </w:pPr>
      <w:proofErr w:type="spellStart"/>
      <w:r w:rsidRPr="00DE080F">
        <w:rPr>
          <w:rFonts w:ascii="Times New Roman" w:eastAsia="Times New Roman" w:hAnsi="Times New Roman"/>
          <w:sz w:val="24"/>
          <w:szCs w:val="24"/>
        </w:rPr>
        <w:t>Директор</w:t>
      </w:r>
      <w:proofErr w:type="spellEnd"/>
      <w:r w:rsidRPr="00DE080F">
        <w:rPr>
          <w:rFonts w:ascii="Times New Roman" w:eastAsia="Times New Roman" w:hAnsi="Times New Roman"/>
          <w:sz w:val="24"/>
          <w:szCs w:val="24"/>
        </w:rPr>
        <w:t xml:space="preserve"> </w:t>
      </w:r>
      <w:proofErr w:type="spellStart"/>
      <w:r w:rsidRPr="00DE080F">
        <w:rPr>
          <w:rFonts w:ascii="Times New Roman" w:eastAsia="Times New Roman" w:hAnsi="Times New Roman"/>
          <w:sz w:val="24"/>
          <w:szCs w:val="24"/>
        </w:rPr>
        <w:t>на</w:t>
      </w:r>
      <w:proofErr w:type="spellEnd"/>
      <w:r w:rsidRPr="00DE080F">
        <w:rPr>
          <w:rFonts w:ascii="Times New Roman" w:eastAsia="Times New Roman" w:hAnsi="Times New Roman"/>
          <w:sz w:val="24"/>
          <w:szCs w:val="24"/>
        </w:rPr>
        <w:t xml:space="preserve"> </w:t>
      </w:r>
      <w:proofErr w:type="spellStart"/>
      <w:r w:rsidRPr="00DE080F">
        <w:rPr>
          <w:rFonts w:ascii="Times New Roman" w:eastAsia="Times New Roman" w:hAnsi="Times New Roman"/>
          <w:sz w:val="24"/>
          <w:szCs w:val="24"/>
        </w:rPr>
        <w:t>Дирекция</w:t>
      </w:r>
      <w:proofErr w:type="spellEnd"/>
      <w:r w:rsidRPr="00DE080F">
        <w:rPr>
          <w:rFonts w:ascii="Times New Roman" w:eastAsia="Times New Roman" w:hAnsi="Times New Roman"/>
          <w:sz w:val="24"/>
          <w:szCs w:val="24"/>
        </w:rPr>
        <w:t xml:space="preserve"> </w:t>
      </w:r>
    </w:p>
    <w:p w14:paraId="7CA0BFA2" w14:textId="7217DF55" w:rsidR="00176F4C" w:rsidRDefault="00DE080F" w:rsidP="00DE080F">
      <w:pPr>
        <w:spacing w:after="0" w:line="240" w:lineRule="auto"/>
        <w:ind w:left="5103" w:right="-567"/>
        <w:rPr>
          <w:rFonts w:ascii="Times New Roman" w:eastAsia="Times New Roman" w:hAnsi="Times New Roman"/>
          <w:sz w:val="24"/>
          <w:szCs w:val="24"/>
        </w:rPr>
      </w:pPr>
      <w:r w:rsidRPr="00DE080F">
        <w:rPr>
          <w:rFonts w:ascii="Times New Roman" w:eastAsia="Times New Roman" w:hAnsi="Times New Roman"/>
          <w:sz w:val="24"/>
          <w:szCs w:val="24"/>
        </w:rPr>
        <w:t>“</w:t>
      </w:r>
      <w:proofErr w:type="spellStart"/>
      <w:r w:rsidRPr="00DE080F">
        <w:rPr>
          <w:rFonts w:ascii="Times New Roman" w:eastAsia="Times New Roman" w:hAnsi="Times New Roman"/>
          <w:sz w:val="24"/>
          <w:szCs w:val="24"/>
        </w:rPr>
        <w:t>Европейски</w:t>
      </w:r>
      <w:proofErr w:type="spellEnd"/>
      <w:r w:rsidRPr="00DE080F">
        <w:rPr>
          <w:rFonts w:ascii="Times New Roman" w:eastAsia="Times New Roman" w:hAnsi="Times New Roman"/>
          <w:sz w:val="24"/>
          <w:szCs w:val="24"/>
        </w:rPr>
        <w:t xml:space="preserve"> </w:t>
      </w:r>
      <w:proofErr w:type="spellStart"/>
      <w:r w:rsidRPr="00DE080F">
        <w:rPr>
          <w:rFonts w:ascii="Times New Roman" w:eastAsia="Times New Roman" w:hAnsi="Times New Roman"/>
          <w:sz w:val="24"/>
          <w:szCs w:val="24"/>
        </w:rPr>
        <w:t>въпроси</w:t>
      </w:r>
      <w:proofErr w:type="spellEnd"/>
      <w:r w:rsidRPr="00DE080F">
        <w:rPr>
          <w:rFonts w:ascii="Times New Roman" w:eastAsia="Times New Roman" w:hAnsi="Times New Roman"/>
          <w:sz w:val="24"/>
          <w:szCs w:val="24"/>
        </w:rPr>
        <w:t xml:space="preserve"> и </w:t>
      </w:r>
      <w:proofErr w:type="spellStart"/>
      <w:r w:rsidRPr="00DE080F">
        <w:rPr>
          <w:rFonts w:ascii="Times New Roman" w:eastAsia="Times New Roman" w:hAnsi="Times New Roman"/>
          <w:sz w:val="24"/>
          <w:szCs w:val="24"/>
        </w:rPr>
        <w:t>политики</w:t>
      </w:r>
      <w:proofErr w:type="spellEnd"/>
      <w:r w:rsidRPr="00DE080F">
        <w:rPr>
          <w:rFonts w:ascii="Times New Roman" w:eastAsia="Times New Roman" w:hAnsi="Times New Roman"/>
          <w:sz w:val="24"/>
          <w:szCs w:val="24"/>
        </w:rPr>
        <w:t>”</w:t>
      </w:r>
    </w:p>
    <w:p w14:paraId="28D1CA6E" w14:textId="2894ACE7" w:rsidR="00DE080F" w:rsidRPr="00DE080F" w:rsidRDefault="00DE080F" w:rsidP="00DE080F">
      <w:pPr>
        <w:spacing w:after="0" w:line="240" w:lineRule="auto"/>
        <w:ind w:left="5103" w:right="-567"/>
        <w:rPr>
          <w:rFonts w:ascii="Times New Roman" w:eastAsia="Times New Roman" w:hAnsi="Times New Roman"/>
          <w:sz w:val="24"/>
          <w:szCs w:val="24"/>
        </w:rPr>
      </w:pPr>
      <w:r>
        <w:rPr>
          <w:rFonts w:ascii="Times New Roman" w:eastAsia="Times New Roman" w:hAnsi="Times New Roman"/>
          <w:sz w:val="24"/>
          <w:szCs w:val="24"/>
        </w:rPr>
        <w:t>Ministry of Finance</w:t>
      </w:r>
    </w:p>
    <w:p w14:paraId="71FACA23" w14:textId="1F1D1307" w:rsidR="00DE080F" w:rsidRPr="00DE080F" w:rsidRDefault="00DE080F" w:rsidP="00DE080F">
      <w:pPr>
        <w:spacing w:after="0" w:line="240" w:lineRule="auto"/>
        <w:ind w:left="5103" w:right="-567"/>
        <w:rPr>
          <w:rFonts w:ascii="Times New Roman" w:hAnsi="Times New Roman"/>
          <w:sz w:val="24"/>
          <w:szCs w:val="24"/>
        </w:rPr>
      </w:pPr>
      <w:hyperlink r:id="rId7" w:history="1">
        <w:r w:rsidRPr="00DE080F">
          <w:rPr>
            <w:rStyle w:val="Hyperlink"/>
            <w:rFonts w:ascii="Times New Roman" w:hAnsi="Times New Roman"/>
            <w:sz w:val="24"/>
            <w:szCs w:val="24"/>
          </w:rPr>
          <w:t>m.metodiev@minfin.bg</w:t>
        </w:r>
      </w:hyperlink>
      <w:r w:rsidRPr="00DE080F">
        <w:rPr>
          <w:rFonts w:ascii="Times New Roman" w:hAnsi="Times New Roman"/>
          <w:sz w:val="24"/>
          <w:szCs w:val="24"/>
        </w:rPr>
        <w:t xml:space="preserve">; </w:t>
      </w:r>
    </w:p>
    <w:p w14:paraId="53EB65D7" w14:textId="73DD714A" w:rsidR="00DE080F" w:rsidRPr="00DE080F" w:rsidRDefault="00DE080F" w:rsidP="00DE080F">
      <w:pPr>
        <w:spacing w:after="0" w:line="240" w:lineRule="auto"/>
        <w:ind w:left="5103" w:right="-567"/>
        <w:rPr>
          <w:rFonts w:ascii="Times New Roman" w:hAnsi="Times New Roman"/>
          <w:sz w:val="24"/>
          <w:szCs w:val="24"/>
        </w:rPr>
      </w:pPr>
      <w:r w:rsidRPr="00DE080F">
        <w:rPr>
          <w:rFonts w:ascii="Times New Roman" w:hAnsi="Times New Roman"/>
          <w:sz w:val="24"/>
          <w:szCs w:val="24"/>
        </w:rPr>
        <w:t xml:space="preserve">cc: </w:t>
      </w:r>
      <w:hyperlink r:id="rId8" w:history="1">
        <w:r w:rsidRPr="00DE080F">
          <w:rPr>
            <w:rStyle w:val="Hyperlink"/>
            <w:rFonts w:ascii="Times New Roman" w:hAnsi="Times New Roman"/>
            <w:sz w:val="24"/>
            <w:szCs w:val="24"/>
          </w:rPr>
          <w:t>s.sarafova@minfin.bg</w:t>
        </w:r>
      </w:hyperlink>
      <w:r w:rsidRPr="00DE080F">
        <w:rPr>
          <w:rFonts w:ascii="Times New Roman" w:hAnsi="Times New Roman"/>
          <w:sz w:val="24"/>
          <w:szCs w:val="24"/>
        </w:rPr>
        <w:t xml:space="preserve">; </w:t>
      </w:r>
      <w:hyperlink r:id="rId9" w:history="1">
        <w:r w:rsidRPr="00DE080F">
          <w:rPr>
            <w:rStyle w:val="Hyperlink"/>
            <w:rFonts w:ascii="Times New Roman" w:hAnsi="Times New Roman"/>
            <w:sz w:val="24"/>
            <w:szCs w:val="24"/>
          </w:rPr>
          <w:t>i.stoeva@minfin.bg</w:t>
        </w:r>
      </w:hyperlink>
      <w:r w:rsidRPr="00DE080F">
        <w:rPr>
          <w:rFonts w:ascii="Times New Roman" w:hAnsi="Times New Roman"/>
          <w:sz w:val="24"/>
          <w:szCs w:val="24"/>
        </w:rPr>
        <w:t xml:space="preserve"> </w:t>
      </w:r>
    </w:p>
    <w:p w14:paraId="1FC0AFCC" w14:textId="77777777" w:rsidR="00DE080F" w:rsidRDefault="00DE080F" w:rsidP="00176F4C">
      <w:pPr>
        <w:spacing w:after="480" w:line="240" w:lineRule="auto"/>
        <w:ind w:left="1191" w:hanging="1191"/>
        <w:rPr>
          <w:rFonts w:ascii="Times New Roman" w:eastAsia="Times New Roman" w:hAnsi="Times New Roman"/>
          <w:b/>
          <w:sz w:val="24"/>
          <w:szCs w:val="24"/>
          <w:lang w:eastAsia="en-GB"/>
        </w:rPr>
      </w:pPr>
    </w:p>
    <w:p w14:paraId="05FD70C8" w14:textId="35B9460A" w:rsidR="00176F4C" w:rsidRPr="00DE080F" w:rsidRDefault="00176F4C" w:rsidP="00176F4C">
      <w:pPr>
        <w:spacing w:after="480" w:line="240" w:lineRule="auto"/>
        <w:ind w:left="1191" w:hanging="1191"/>
        <w:rPr>
          <w:rFonts w:ascii="Times New Roman" w:eastAsia="Times New Roman" w:hAnsi="Times New Roman"/>
          <w:b/>
          <w:sz w:val="24"/>
          <w:szCs w:val="24"/>
          <w:lang w:eastAsia="en-GB"/>
        </w:rPr>
      </w:pPr>
      <w:r w:rsidRPr="00DE080F">
        <w:rPr>
          <w:rFonts w:ascii="Times New Roman" w:eastAsia="Times New Roman" w:hAnsi="Times New Roman"/>
          <w:b/>
          <w:sz w:val="24"/>
          <w:szCs w:val="24"/>
          <w:lang w:eastAsia="en-GB"/>
        </w:rPr>
        <w:t>Subject:</w:t>
      </w:r>
      <w:r w:rsidRPr="00DE080F">
        <w:rPr>
          <w:rFonts w:ascii="Times New Roman" w:eastAsia="Times New Roman" w:hAnsi="Times New Roman"/>
          <w:b/>
          <w:sz w:val="24"/>
          <w:szCs w:val="24"/>
          <w:lang w:eastAsia="en-GB"/>
        </w:rPr>
        <w:tab/>
        <w:t xml:space="preserve">Your </w:t>
      </w:r>
      <w:r w:rsidR="00DE080F" w:rsidRPr="00DE080F">
        <w:rPr>
          <w:rFonts w:ascii="Times New Roman" w:eastAsia="Times New Roman" w:hAnsi="Times New Roman"/>
          <w:b/>
          <w:sz w:val="24"/>
          <w:szCs w:val="24"/>
          <w:lang w:eastAsia="en-GB"/>
        </w:rPr>
        <w:t>letter</w:t>
      </w:r>
      <w:r w:rsidRPr="00DE080F">
        <w:rPr>
          <w:rFonts w:ascii="Times New Roman" w:eastAsia="Times New Roman" w:hAnsi="Times New Roman"/>
          <w:b/>
          <w:sz w:val="24"/>
          <w:szCs w:val="24"/>
          <w:lang w:eastAsia="en-GB"/>
        </w:rPr>
        <w:t xml:space="preserve"> dated </w:t>
      </w:r>
      <w:r w:rsidR="00DE080F" w:rsidRPr="00DE080F">
        <w:rPr>
          <w:rFonts w:ascii="Times New Roman" w:eastAsia="Times New Roman" w:hAnsi="Times New Roman"/>
          <w:b/>
          <w:sz w:val="24"/>
          <w:szCs w:val="24"/>
          <w:lang w:eastAsia="en-GB"/>
        </w:rPr>
        <w:t>20 December 2023</w:t>
      </w:r>
    </w:p>
    <w:p w14:paraId="2514EB03" w14:textId="34558F74" w:rsidR="00176F4C" w:rsidRPr="00DE080F" w:rsidRDefault="00176F4C" w:rsidP="00176F4C">
      <w:pPr>
        <w:rPr>
          <w:rFonts w:ascii="Times New Roman" w:hAnsi="Times New Roman"/>
          <w:sz w:val="24"/>
          <w:szCs w:val="24"/>
          <w:lang w:val="en-US"/>
        </w:rPr>
      </w:pPr>
      <w:r w:rsidRPr="00DE080F">
        <w:rPr>
          <w:rFonts w:ascii="Times New Roman" w:hAnsi="Times New Roman"/>
          <w:sz w:val="24"/>
          <w:szCs w:val="24"/>
          <w:lang w:val="en-US"/>
        </w:rPr>
        <w:t>Dear Sir,</w:t>
      </w:r>
    </w:p>
    <w:p w14:paraId="4778B1D6" w14:textId="6A202BD0" w:rsidR="00176F4C" w:rsidRPr="00DE080F" w:rsidRDefault="00176F4C" w:rsidP="00176F4C">
      <w:pPr>
        <w:rPr>
          <w:rFonts w:ascii="Times New Roman" w:hAnsi="Times New Roman"/>
          <w:sz w:val="24"/>
          <w:szCs w:val="24"/>
          <w:lang w:val="en-US"/>
        </w:rPr>
      </w:pPr>
      <w:r w:rsidRPr="00DE080F">
        <w:rPr>
          <w:rFonts w:ascii="Times New Roman" w:hAnsi="Times New Roman"/>
          <w:sz w:val="24"/>
          <w:szCs w:val="24"/>
          <w:lang w:val="en-US"/>
        </w:rPr>
        <w:t xml:space="preserve">Thank you for your </w:t>
      </w:r>
      <w:r w:rsidR="00DE080F" w:rsidRPr="00DE080F">
        <w:rPr>
          <w:rFonts w:ascii="Times New Roman" w:hAnsi="Times New Roman"/>
          <w:sz w:val="24"/>
          <w:szCs w:val="24"/>
          <w:lang w:val="en-US"/>
        </w:rPr>
        <w:t>letter dated 20 December 2023 addressed to Olivier Guersent</w:t>
      </w:r>
      <w:r w:rsidRPr="00DE080F">
        <w:rPr>
          <w:rFonts w:ascii="Times New Roman" w:hAnsi="Times New Roman"/>
          <w:sz w:val="24"/>
          <w:szCs w:val="24"/>
          <w:lang w:val="en-US"/>
        </w:rPr>
        <w:t>.</w:t>
      </w:r>
    </w:p>
    <w:p w14:paraId="6F3C017A" w14:textId="560DFAF7" w:rsidR="00176F4C" w:rsidRPr="00DE080F" w:rsidRDefault="00176F4C" w:rsidP="00176F4C">
      <w:pPr>
        <w:jc w:val="both"/>
        <w:rPr>
          <w:rFonts w:ascii="Times New Roman" w:hAnsi="Times New Roman"/>
          <w:sz w:val="24"/>
          <w:szCs w:val="24"/>
        </w:rPr>
      </w:pPr>
      <w:r w:rsidRPr="00DE080F">
        <w:rPr>
          <w:rFonts w:ascii="Times New Roman" w:hAnsi="Times New Roman"/>
          <w:sz w:val="24"/>
          <w:szCs w:val="24"/>
          <w:lang w:val="en-US"/>
        </w:rPr>
        <w:t xml:space="preserve">Concerning your question on the application of the grating period, </w:t>
      </w:r>
      <w:r w:rsidRPr="00DE080F">
        <w:rPr>
          <w:rFonts w:ascii="Times New Roman" w:hAnsi="Times New Roman"/>
          <w:sz w:val="24"/>
          <w:szCs w:val="24"/>
        </w:rPr>
        <w:t xml:space="preserve">Commission Regulation (EU) 2023/2831 of 13 December 2023 provides that the total amount of </w:t>
      </w:r>
      <w:r w:rsidRPr="00DE080F">
        <w:rPr>
          <w:rStyle w:val="oj-italic"/>
          <w:rFonts w:ascii="Times New Roman" w:hAnsi="Times New Roman"/>
          <w:i/>
          <w:iCs/>
          <w:sz w:val="24"/>
          <w:szCs w:val="24"/>
        </w:rPr>
        <w:t>de minimis</w:t>
      </w:r>
      <w:r w:rsidRPr="00DE080F">
        <w:rPr>
          <w:rFonts w:ascii="Times New Roman" w:hAnsi="Times New Roman"/>
          <w:sz w:val="24"/>
          <w:szCs w:val="24"/>
        </w:rPr>
        <w:t xml:space="preserve"> aid granted per Member State to a single undertaking shall not exceed EUR 300 000 over any period of 3 years. According to Recital 11, the period of 3 years to be </w:t>
      </w:r>
      <w:proofErr w:type="gramStart"/>
      <w:r w:rsidRPr="00DE080F">
        <w:rPr>
          <w:rFonts w:ascii="Times New Roman" w:hAnsi="Times New Roman"/>
          <w:sz w:val="24"/>
          <w:szCs w:val="24"/>
        </w:rPr>
        <w:t>taken into account</w:t>
      </w:r>
      <w:proofErr w:type="gramEnd"/>
      <w:r w:rsidRPr="00DE080F">
        <w:rPr>
          <w:rFonts w:ascii="Times New Roman" w:hAnsi="Times New Roman"/>
          <w:sz w:val="24"/>
          <w:szCs w:val="24"/>
        </w:rPr>
        <w:t xml:space="preserve"> for the purposes of the Regulation should be assessed on a rolling basis. It follows that as of 1 January 2024, any </w:t>
      </w:r>
      <w:r w:rsidRPr="00DE080F">
        <w:rPr>
          <w:rFonts w:ascii="Times New Roman" w:hAnsi="Times New Roman"/>
          <w:i/>
          <w:iCs/>
          <w:sz w:val="24"/>
          <w:szCs w:val="24"/>
        </w:rPr>
        <w:t>de minimis</w:t>
      </w:r>
      <w:r w:rsidRPr="00DE080F">
        <w:rPr>
          <w:rFonts w:ascii="Times New Roman" w:hAnsi="Times New Roman"/>
          <w:sz w:val="24"/>
          <w:szCs w:val="24"/>
        </w:rPr>
        <w:t xml:space="preserve"> aid can be granted up to EUR 300 000 over a period of 3 years prior to the date of grant. </w:t>
      </w:r>
    </w:p>
    <w:p w14:paraId="78F43ADC" w14:textId="7161C55F" w:rsidR="00176F4C" w:rsidRPr="00DE080F" w:rsidRDefault="00176F4C" w:rsidP="00176F4C">
      <w:pPr>
        <w:jc w:val="both"/>
        <w:rPr>
          <w:rFonts w:ascii="Times New Roman" w:hAnsi="Times New Roman"/>
          <w:sz w:val="24"/>
          <w:szCs w:val="24"/>
        </w:rPr>
      </w:pPr>
      <w:r w:rsidRPr="00DE080F">
        <w:rPr>
          <w:rFonts w:ascii="Times New Roman" w:hAnsi="Times New Roman"/>
          <w:sz w:val="24"/>
          <w:szCs w:val="24"/>
        </w:rPr>
        <w:t xml:space="preserve">However, since there is a transitional period of 6 months pursuant to Article 7(4) Commission Regulation (EU) 1407/2013, as an alternative to immediate application of the new Regulation, </w:t>
      </w:r>
      <w:r w:rsidRPr="00DE080F">
        <w:rPr>
          <w:rFonts w:ascii="Times New Roman" w:hAnsi="Times New Roman"/>
          <w:i/>
          <w:iCs/>
          <w:sz w:val="24"/>
          <w:szCs w:val="24"/>
        </w:rPr>
        <w:t xml:space="preserve">de minimis </w:t>
      </w:r>
      <w:r w:rsidRPr="00DE080F">
        <w:rPr>
          <w:rFonts w:ascii="Times New Roman" w:hAnsi="Times New Roman"/>
          <w:sz w:val="24"/>
          <w:szCs w:val="24"/>
        </w:rPr>
        <w:t xml:space="preserve">aid can be granted up to 30 June 2024 inasmuch as it complies with the requirements under that Regulation, meaning that </w:t>
      </w:r>
      <w:r w:rsidRPr="00DE080F">
        <w:rPr>
          <w:rFonts w:ascii="Times New Roman" w:hAnsi="Times New Roman"/>
          <w:i/>
          <w:iCs/>
          <w:sz w:val="24"/>
          <w:szCs w:val="24"/>
        </w:rPr>
        <w:t>de minimis</w:t>
      </w:r>
      <w:r w:rsidRPr="00DE080F">
        <w:rPr>
          <w:rFonts w:ascii="Times New Roman" w:hAnsi="Times New Roman"/>
          <w:sz w:val="24"/>
          <w:szCs w:val="24"/>
        </w:rPr>
        <w:t xml:space="preserve"> aid can be granted up to EUR 200 000 EUR for a period of 3 fiscal years (i.e., fiscal year concerned and the previous two fiscal years).</w:t>
      </w:r>
    </w:p>
    <w:p w14:paraId="57E3997F" w14:textId="4EDDC014" w:rsidR="00176F4C" w:rsidRPr="00DE080F" w:rsidRDefault="00176F4C" w:rsidP="00176F4C">
      <w:pPr>
        <w:jc w:val="both"/>
        <w:rPr>
          <w:rFonts w:ascii="Times New Roman" w:hAnsi="Times New Roman"/>
          <w:sz w:val="24"/>
          <w:szCs w:val="24"/>
        </w:rPr>
      </w:pPr>
      <w:r w:rsidRPr="00DE080F">
        <w:rPr>
          <w:rFonts w:ascii="Times New Roman" w:hAnsi="Times New Roman"/>
          <w:sz w:val="24"/>
          <w:szCs w:val="24"/>
        </w:rPr>
        <w:t xml:space="preserve">As for the calculation of the </w:t>
      </w:r>
      <w:proofErr w:type="gramStart"/>
      <w:r w:rsidRPr="00DE080F">
        <w:rPr>
          <w:rFonts w:ascii="Times New Roman" w:hAnsi="Times New Roman"/>
          <w:sz w:val="24"/>
          <w:szCs w:val="24"/>
        </w:rPr>
        <w:t>time period</w:t>
      </w:r>
      <w:proofErr w:type="gramEnd"/>
      <w:r w:rsidRPr="00DE080F">
        <w:rPr>
          <w:rFonts w:ascii="Times New Roman" w:hAnsi="Times New Roman"/>
          <w:sz w:val="24"/>
          <w:szCs w:val="24"/>
        </w:rPr>
        <w:t xml:space="preserve"> of 3 years, Regulation (EEC, Euratom) 1182/71 lays down the rules on how periods, dates and time limits are accounted. Article 3(1) para 2. of that Regulation reads as follows: “Where a period expressed in days, weeks, months or years is to be calculated from the moment at which an event occurs or an action takes place, the day during which that event occurs or that action takes place shall not be considered as falling within the period in question.” Article 3(2)(c) of that Regulation reads as follows: “a period expressed in weeks, months or years shall start at the beginning of the first hour of the first day of the period, and shall end with the expiry of the last hour of whichever day in the last week, month or year is the same day of the week, or falls on the same date, as the day from which the period runs. If, in a period expressed in months or in years, the day on which it should expire does not occur </w:t>
      </w:r>
      <w:r w:rsidRPr="00DE080F">
        <w:rPr>
          <w:rFonts w:ascii="Times New Roman" w:hAnsi="Times New Roman"/>
          <w:sz w:val="24"/>
          <w:szCs w:val="24"/>
        </w:rPr>
        <w:lastRenderedPageBreak/>
        <w:t>in the last month, the period shall end with the expiry of the last hour of the last day of that month.”</w:t>
      </w:r>
    </w:p>
    <w:p w14:paraId="61148F28" w14:textId="2C1E8EC4" w:rsidR="00176F4C" w:rsidRPr="00DE080F" w:rsidRDefault="00176F4C" w:rsidP="00176F4C">
      <w:pPr>
        <w:jc w:val="both"/>
        <w:rPr>
          <w:rFonts w:ascii="Times New Roman" w:hAnsi="Times New Roman"/>
          <w:sz w:val="24"/>
          <w:szCs w:val="24"/>
        </w:rPr>
      </w:pPr>
      <w:r w:rsidRPr="00DE080F">
        <w:rPr>
          <w:rFonts w:ascii="Times New Roman" w:hAnsi="Times New Roman"/>
          <w:sz w:val="24"/>
          <w:szCs w:val="24"/>
        </w:rPr>
        <w:t>The same rules on the granting period apply for the new Regulation EU 2023/2832, meaning that</w:t>
      </w:r>
      <w:r w:rsidRPr="00DE080F">
        <w:rPr>
          <w:rFonts w:ascii="Times New Roman" w:hAnsi="Times New Roman"/>
          <w:color w:val="FF0000"/>
          <w:sz w:val="24"/>
          <w:szCs w:val="24"/>
        </w:rPr>
        <w:t xml:space="preserve"> </w:t>
      </w:r>
      <w:r w:rsidRPr="00DE080F">
        <w:rPr>
          <w:rFonts w:ascii="Times New Roman" w:hAnsi="Times New Roman"/>
          <w:sz w:val="24"/>
          <w:szCs w:val="24"/>
        </w:rPr>
        <w:t xml:space="preserve">the period of 3 years to be </w:t>
      </w:r>
      <w:proofErr w:type="gramStart"/>
      <w:r w:rsidRPr="00DE080F">
        <w:rPr>
          <w:rFonts w:ascii="Times New Roman" w:hAnsi="Times New Roman"/>
          <w:sz w:val="24"/>
          <w:szCs w:val="24"/>
        </w:rPr>
        <w:t>taken into account</w:t>
      </w:r>
      <w:proofErr w:type="gramEnd"/>
      <w:r w:rsidRPr="00DE080F">
        <w:rPr>
          <w:rFonts w:ascii="Times New Roman" w:hAnsi="Times New Roman"/>
          <w:sz w:val="24"/>
          <w:szCs w:val="24"/>
        </w:rPr>
        <w:t xml:space="preserve"> should be assessed on a rolling basis (period of 3 years prior to the date of grant).</w:t>
      </w:r>
    </w:p>
    <w:p w14:paraId="55CBE0E6" w14:textId="363AB512" w:rsidR="00176F4C" w:rsidRPr="00DE080F" w:rsidRDefault="00176F4C" w:rsidP="00176F4C">
      <w:pPr>
        <w:jc w:val="both"/>
        <w:rPr>
          <w:rFonts w:ascii="Times New Roman" w:hAnsi="Times New Roman"/>
          <w:sz w:val="24"/>
          <w:szCs w:val="24"/>
        </w:rPr>
      </w:pPr>
      <w:r w:rsidRPr="00DE080F">
        <w:rPr>
          <w:rFonts w:ascii="Times New Roman" w:hAnsi="Times New Roman"/>
          <w:sz w:val="24"/>
          <w:szCs w:val="24"/>
        </w:rPr>
        <w:t>Regarding your point on the translation problem, we have taken note of this issue and are working on addressing it. Thanks for having flagged this point.</w:t>
      </w:r>
    </w:p>
    <w:p w14:paraId="01890F98" w14:textId="61139D29" w:rsidR="00176F4C" w:rsidRPr="00DE080F" w:rsidRDefault="00176F4C" w:rsidP="00176F4C">
      <w:pPr>
        <w:jc w:val="both"/>
        <w:rPr>
          <w:rFonts w:ascii="Times New Roman" w:hAnsi="Times New Roman"/>
          <w:sz w:val="24"/>
          <w:szCs w:val="24"/>
        </w:rPr>
      </w:pPr>
      <w:r w:rsidRPr="00DE080F">
        <w:rPr>
          <w:rFonts w:ascii="Times New Roman" w:hAnsi="Times New Roman"/>
          <w:sz w:val="24"/>
          <w:szCs w:val="24"/>
        </w:rPr>
        <w:t xml:space="preserve">Regarding your question on the cumulation of </w:t>
      </w:r>
      <w:r w:rsidRPr="00DE080F">
        <w:rPr>
          <w:rFonts w:ascii="Times New Roman" w:hAnsi="Times New Roman"/>
          <w:i/>
          <w:iCs/>
          <w:sz w:val="24"/>
          <w:szCs w:val="24"/>
        </w:rPr>
        <w:t>de minimis</w:t>
      </w:r>
      <w:r w:rsidRPr="00DE080F">
        <w:rPr>
          <w:rFonts w:ascii="Times New Roman" w:hAnsi="Times New Roman"/>
          <w:sz w:val="24"/>
          <w:szCs w:val="24"/>
        </w:rPr>
        <w:t xml:space="preserve"> aid granted under Regulation 2023/2831 and Regulation 2023/2832, we confirm you that cumulation is allowed. Provided that all conditions laid down in both de minimis Regulations are complied with, Member States are free to design </w:t>
      </w:r>
      <w:r w:rsidRPr="00DE080F">
        <w:rPr>
          <w:rFonts w:ascii="Times New Roman" w:hAnsi="Times New Roman"/>
          <w:i/>
          <w:iCs/>
          <w:sz w:val="24"/>
          <w:szCs w:val="24"/>
        </w:rPr>
        <w:t>de minimis</w:t>
      </w:r>
      <w:r w:rsidRPr="00DE080F">
        <w:rPr>
          <w:rFonts w:ascii="Times New Roman" w:hAnsi="Times New Roman"/>
          <w:sz w:val="24"/>
          <w:szCs w:val="24"/>
        </w:rPr>
        <w:t xml:space="preserve"> measures, including on the use of both Regulations to cover parts of the same eligible costs. Please note that Footnote 21 of Regulation 2023/2832 refers to the rules on data protection (as does footnote 19 of Regulation 2023/2831).</w:t>
      </w:r>
    </w:p>
    <w:p w14:paraId="4FB72445" w14:textId="48811525" w:rsidR="00176F4C" w:rsidRPr="00DE080F" w:rsidRDefault="00176F4C" w:rsidP="00176F4C">
      <w:pPr>
        <w:jc w:val="both"/>
        <w:rPr>
          <w:rFonts w:ascii="Times New Roman" w:hAnsi="Times New Roman"/>
          <w:sz w:val="24"/>
          <w:szCs w:val="24"/>
        </w:rPr>
      </w:pPr>
      <w:r w:rsidRPr="00DE080F">
        <w:rPr>
          <w:rFonts w:ascii="Times New Roman" w:hAnsi="Times New Roman"/>
          <w:sz w:val="24"/>
          <w:szCs w:val="24"/>
        </w:rPr>
        <w:t xml:space="preserve">Regarding your question on Article 6 (5) of Regulation 2023/2831, the provision is to be interpreted in such a way that financial intermediaries implementing </w:t>
      </w:r>
      <w:r w:rsidRPr="00DE080F">
        <w:rPr>
          <w:rStyle w:val="oj-italic"/>
          <w:rFonts w:ascii="Times New Roman" w:hAnsi="Times New Roman"/>
          <w:i/>
          <w:iCs/>
          <w:sz w:val="24"/>
          <w:szCs w:val="24"/>
        </w:rPr>
        <w:t>de minimis</w:t>
      </w:r>
      <w:r w:rsidRPr="00DE080F">
        <w:rPr>
          <w:rFonts w:ascii="Times New Roman" w:hAnsi="Times New Roman"/>
          <w:sz w:val="24"/>
          <w:szCs w:val="24"/>
        </w:rPr>
        <w:t xml:space="preserve"> aid schemes shall report the total amount of </w:t>
      </w:r>
      <w:r w:rsidRPr="00DE080F">
        <w:rPr>
          <w:rStyle w:val="oj-italic"/>
          <w:rFonts w:ascii="Times New Roman" w:hAnsi="Times New Roman"/>
          <w:sz w:val="24"/>
          <w:szCs w:val="24"/>
        </w:rPr>
        <w:t>de minimis</w:t>
      </w:r>
      <w:r w:rsidRPr="00DE080F">
        <w:rPr>
          <w:rFonts w:ascii="Times New Roman" w:hAnsi="Times New Roman"/>
          <w:sz w:val="24"/>
          <w:szCs w:val="24"/>
        </w:rPr>
        <w:t xml:space="preserve"> aid received by them, on a quarterly basis to the Member State within 10 </w:t>
      </w:r>
      <w:r w:rsidRPr="00DE080F">
        <w:rPr>
          <w:rFonts w:ascii="Times New Roman" w:hAnsi="Times New Roman"/>
          <w:sz w:val="24"/>
          <w:szCs w:val="24"/>
          <w:u w:val="single"/>
        </w:rPr>
        <w:t>working</w:t>
      </w:r>
      <w:r w:rsidRPr="00DE080F">
        <w:rPr>
          <w:rFonts w:ascii="Times New Roman" w:hAnsi="Times New Roman"/>
          <w:sz w:val="24"/>
          <w:szCs w:val="24"/>
        </w:rPr>
        <w:t xml:space="preserve"> days from the end of a given quarter. </w:t>
      </w:r>
    </w:p>
    <w:p w14:paraId="0C47C0FD" w14:textId="1B1511D2" w:rsidR="00176F4C" w:rsidRPr="00DE080F" w:rsidRDefault="00176F4C" w:rsidP="00176F4C">
      <w:pPr>
        <w:jc w:val="both"/>
        <w:rPr>
          <w:rFonts w:ascii="Times New Roman" w:hAnsi="Times New Roman"/>
          <w:sz w:val="24"/>
          <w:szCs w:val="24"/>
        </w:rPr>
      </w:pPr>
      <w:r w:rsidRPr="00DE080F">
        <w:rPr>
          <w:rFonts w:ascii="Times New Roman" w:hAnsi="Times New Roman"/>
          <w:sz w:val="24"/>
          <w:szCs w:val="24"/>
        </w:rPr>
        <w:t xml:space="preserve">Regarding your question on an operational contact person, please note that the setting of an EU register is currently being worked on at technical level. The Commission services are therefore not in position to provide a contact point at this early point of the implementation.  </w:t>
      </w:r>
    </w:p>
    <w:p w14:paraId="37C34FF9" w14:textId="38C5DFC7" w:rsidR="00176F4C" w:rsidRPr="00DE080F" w:rsidRDefault="00176F4C" w:rsidP="00176F4C">
      <w:pPr>
        <w:jc w:val="both"/>
        <w:rPr>
          <w:rFonts w:ascii="Times New Roman" w:eastAsia="Times New Roman" w:hAnsi="Times New Roman"/>
          <w:sz w:val="24"/>
          <w:szCs w:val="24"/>
        </w:rPr>
      </w:pPr>
      <w:r w:rsidRPr="00DE080F">
        <w:rPr>
          <w:rFonts w:ascii="Times New Roman" w:hAnsi="Times New Roman"/>
          <w:sz w:val="24"/>
          <w:szCs w:val="24"/>
        </w:rPr>
        <w:t>Please note that this reply does not represent a formal and</w:t>
      </w:r>
      <w:r w:rsidR="00ED4DA5" w:rsidRPr="00DE080F">
        <w:rPr>
          <w:rFonts w:ascii="Times New Roman" w:hAnsi="Times New Roman"/>
          <w:sz w:val="24"/>
          <w:szCs w:val="24"/>
        </w:rPr>
        <w:t xml:space="preserve"> </w:t>
      </w:r>
      <w:r w:rsidRPr="00DE080F">
        <w:rPr>
          <w:rFonts w:ascii="Times New Roman" w:hAnsi="Times New Roman"/>
          <w:sz w:val="24"/>
          <w:szCs w:val="24"/>
        </w:rPr>
        <w:t xml:space="preserve">definitive position of the European Commission but is only an informal guidance provided by the services of DG Competition.  It is therefore not binding and cannot create legal certainty or legitimate expectations. </w:t>
      </w:r>
    </w:p>
    <w:p w14:paraId="5ACBEC2D" w14:textId="77777777" w:rsidR="00176F4C" w:rsidRPr="00DE080F" w:rsidRDefault="00176F4C" w:rsidP="00176F4C">
      <w:pPr>
        <w:jc w:val="both"/>
        <w:rPr>
          <w:rFonts w:ascii="Times New Roman" w:hAnsi="Times New Roman"/>
          <w:sz w:val="24"/>
          <w:szCs w:val="24"/>
        </w:rPr>
      </w:pPr>
    </w:p>
    <w:p w14:paraId="49EE96E3" w14:textId="77777777" w:rsidR="00176F4C" w:rsidRPr="00DE080F" w:rsidRDefault="00176F4C" w:rsidP="00176F4C">
      <w:pPr>
        <w:pStyle w:val="Salutation"/>
        <w:ind w:left="5103"/>
        <w:jc w:val="center"/>
        <w:rPr>
          <w:szCs w:val="24"/>
        </w:rPr>
      </w:pPr>
      <w:r w:rsidRPr="00DE080F">
        <w:rPr>
          <w:szCs w:val="24"/>
        </w:rPr>
        <w:t>Yours sincerely,</w:t>
      </w:r>
    </w:p>
    <w:p w14:paraId="611F5ACE" w14:textId="77777777" w:rsidR="00176F4C" w:rsidRPr="00DE080F" w:rsidRDefault="00176F4C" w:rsidP="00176F4C">
      <w:pPr>
        <w:rPr>
          <w:rFonts w:ascii="Times New Roman" w:hAnsi="Times New Roman"/>
          <w:sz w:val="24"/>
          <w:szCs w:val="24"/>
        </w:rPr>
      </w:pPr>
    </w:p>
    <w:p w14:paraId="0AEB7099" w14:textId="77777777" w:rsidR="00176F4C" w:rsidRPr="00DE080F" w:rsidRDefault="00176F4C" w:rsidP="00176F4C">
      <w:pPr>
        <w:pStyle w:val="Signature"/>
        <w:spacing w:before="360"/>
        <w:rPr>
          <w:szCs w:val="24"/>
        </w:rPr>
      </w:pPr>
      <w:r w:rsidRPr="00DE080F">
        <w:rPr>
          <w:szCs w:val="24"/>
        </w:rPr>
        <w:t>(</w:t>
      </w:r>
      <w:r w:rsidRPr="00DE080F">
        <w:rPr>
          <w:i/>
          <w:szCs w:val="24"/>
        </w:rPr>
        <w:t>e-signed</w:t>
      </w:r>
      <w:r w:rsidRPr="00DE080F">
        <w:rPr>
          <w:szCs w:val="24"/>
        </w:rPr>
        <w:t>)</w:t>
      </w:r>
    </w:p>
    <w:p w14:paraId="054B564F" w14:textId="77777777" w:rsidR="00176F4C" w:rsidRPr="00DE080F" w:rsidRDefault="00176F4C" w:rsidP="00176F4C">
      <w:pPr>
        <w:pStyle w:val="Signature"/>
        <w:spacing w:before="360"/>
        <w:rPr>
          <w:szCs w:val="24"/>
        </w:rPr>
      </w:pPr>
      <w:r w:rsidRPr="00DE080F">
        <w:rPr>
          <w:szCs w:val="24"/>
        </w:rPr>
        <w:t>Koen VAN DE CASTEELE</w:t>
      </w:r>
      <w:r w:rsidRPr="00DE080F">
        <w:rPr>
          <w:szCs w:val="24"/>
        </w:rPr>
        <w:br/>
        <w:t xml:space="preserve">Head of Unit </w:t>
      </w:r>
    </w:p>
    <w:p w14:paraId="088AAAC4" w14:textId="77777777" w:rsidR="00176F4C" w:rsidRPr="00DE080F" w:rsidRDefault="00176F4C">
      <w:pPr>
        <w:rPr>
          <w:rFonts w:ascii="Times New Roman" w:hAnsi="Times New Roman"/>
          <w:sz w:val="24"/>
          <w:szCs w:val="24"/>
        </w:rPr>
      </w:pPr>
    </w:p>
    <w:sectPr w:rsidR="00176F4C" w:rsidRPr="00DE08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2621" w14:textId="77777777" w:rsidR="00176F4C" w:rsidRDefault="00176F4C" w:rsidP="00176F4C">
      <w:pPr>
        <w:spacing w:after="0" w:line="240" w:lineRule="auto"/>
      </w:pPr>
      <w:r>
        <w:separator/>
      </w:r>
    </w:p>
  </w:endnote>
  <w:endnote w:type="continuationSeparator" w:id="0">
    <w:p w14:paraId="6AE02687" w14:textId="77777777" w:rsidR="00176F4C" w:rsidRDefault="00176F4C" w:rsidP="0017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AD86" w14:textId="77777777" w:rsidR="00176F4C" w:rsidRDefault="00176F4C" w:rsidP="00176F4C">
      <w:pPr>
        <w:spacing w:after="0" w:line="240" w:lineRule="auto"/>
      </w:pPr>
      <w:r>
        <w:separator/>
      </w:r>
    </w:p>
  </w:footnote>
  <w:footnote w:type="continuationSeparator" w:id="0">
    <w:p w14:paraId="186DFD5E" w14:textId="77777777" w:rsidR="00176F4C" w:rsidRDefault="00176F4C" w:rsidP="00176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76F4C"/>
    <w:rsid w:val="00176F4C"/>
    <w:rsid w:val="002917FA"/>
    <w:rsid w:val="0069233C"/>
    <w:rsid w:val="00D540F0"/>
    <w:rsid w:val="00DE080F"/>
    <w:rsid w:val="00ED4D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DDCD5"/>
  <w15:chartTrackingRefBased/>
  <w15:docId w15:val="{A1CD04F4-AAEB-4A80-BD22-FB523335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4C"/>
    <w:pPr>
      <w:spacing w:after="200" w:line="276" w:lineRule="auto"/>
    </w:pPr>
    <w:rPr>
      <w:rFonts w:ascii="Calibri" w:eastAsia="Calibri" w:hAnsi="Calibri" w:cs="Times New Roman"/>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4C"/>
    <w:pPr>
      <w:spacing w:after="0" w:line="240" w:lineRule="auto"/>
      <w:ind w:left="720"/>
      <w:contextualSpacing/>
    </w:pPr>
    <w:rPr>
      <w:rFonts w:eastAsiaTheme="minorHAnsi" w:cs="Calibri"/>
      <w:lang w:val="en-IE" w:eastAsia="en-IE"/>
    </w:rPr>
  </w:style>
  <w:style w:type="character" w:customStyle="1" w:styleId="oj-italic">
    <w:name w:val="oj-italic"/>
    <w:basedOn w:val="DefaultParagraphFont"/>
    <w:rsid w:val="00176F4C"/>
  </w:style>
  <w:style w:type="paragraph" w:styleId="Signature">
    <w:name w:val="Signature"/>
    <w:basedOn w:val="Normal"/>
    <w:next w:val="Normal"/>
    <w:link w:val="SignatureChar"/>
    <w:rsid w:val="00176F4C"/>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SignatureChar">
    <w:name w:val="Signature Char"/>
    <w:basedOn w:val="DefaultParagraphFont"/>
    <w:link w:val="Signature"/>
    <w:rsid w:val="00176F4C"/>
    <w:rPr>
      <w:rFonts w:ascii="Times New Roman" w:eastAsia="Times New Roman" w:hAnsi="Times New Roman" w:cs="Times New Roman"/>
      <w:kern w:val="0"/>
      <w:sz w:val="24"/>
      <w:szCs w:val="20"/>
      <w:lang w:val="en-GB"/>
      <w14:ligatures w14:val="none"/>
    </w:rPr>
  </w:style>
  <w:style w:type="paragraph" w:styleId="Salutation">
    <w:name w:val="Salutation"/>
    <w:basedOn w:val="Normal"/>
    <w:next w:val="Normal"/>
    <w:link w:val="SalutationChar"/>
    <w:rsid w:val="00176F4C"/>
    <w:pPr>
      <w:spacing w:after="240" w:line="240" w:lineRule="auto"/>
      <w:jc w:val="both"/>
    </w:pPr>
    <w:rPr>
      <w:rFonts w:ascii="Times New Roman" w:eastAsia="Times New Roman" w:hAnsi="Times New Roman"/>
      <w:sz w:val="24"/>
      <w:szCs w:val="20"/>
    </w:rPr>
  </w:style>
  <w:style w:type="character" w:customStyle="1" w:styleId="SalutationChar">
    <w:name w:val="Salutation Char"/>
    <w:basedOn w:val="DefaultParagraphFont"/>
    <w:link w:val="Salutation"/>
    <w:rsid w:val="00176F4C"/>
    <w:rPr>
      <w:rFonts w:ascii="Times New Roman" w:eastAsia="Times New Roman" w:hAnsi="Times New Roman" w:cs="Times New Roman"/>
      <w:kern w:val="0"/>
      <w:sz w:val="24"/>
      <w:szCs w:val="20"/>
      <w:lang w:val="en-GB"/>
      <w14:ligatures w14:val="none"/>
    </w:rPr>
  </w:style>
  <w:style w:type="character" w:styleId="Hyperlink">
    <w:name w:val="Hyperlink"/>
    <w:basedOn w:val="DefaultParagraphFont"/>
    <w:uiPriority w:val="99"/>
    <w:unhideWhenUsed/>
    <w:rsid w:val="00DE080F"/>
    <w:rPr>
      <w:color w:val="0563C1" w:themeColor="hyperlink"/>
      <w:u w:val="single"/>
    </w:rPr>
  </w:style>
  <w:style w:type="character" w:styleId="UnresolvedMention">
    <w:name w:val="Unresolved Mention"/>
    <w:basedOn w:val="DefaultParagraphFont"/>
    <w:uiPriority w:val="99"/>
    <w:semiHidden/>
    <w:unhideWhenUsed/>
    <w:rsid w:val="00DE0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rafova@minfin.bg" TargetMode="External"/><Relationship Id="rId3" Type="http://schemas.openxmlformats.org/officeDocument/2006/relationships/webSettings" Target="webSettings.xml"/><Relationship Id="rId7" Type="http://schemas.openxmlformats.org/officeDocument/2006/relationships/hyperlink" Target="mailto:m.metodiev@minfin.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stoeva@minfi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3797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HENNEUSE Emilie (COMP)</dc:creator>
  <cp:keywords/>
  <dc:description/>
  <cp:lastModifiedBy>TONCHEVA Zlatina (COMP)</cp:lastModifiedBy>
  <cp:revision>2</cp:revision>
  <dcterms:created xsi:type="dcterms:W3CDTF">2024-02-05T11:52:00Z</dcterms:created>
  <dcterms:modified xsi:type="dcterms:W3CDTF">2024-02-05T11:52:00Z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2024-02-01T14:41:00Z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5053c094-b344-4574-b36d-6cec1c00397c</vt:lpwstr>
  </property>
  <property fmtid="{D5CDD505-2E9C-101B-9397-08002B2CF9AE}" pid="8" name="MSIP_Label_6bd9ddd1-4d20-43f6-abfa-fc3c07406f94_ContentBits">
    <vt:lpwstr>0</vt:lpwstr>
  </property>
</Properties>
</file>