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75" w:rsidRDefault="00860873" w:rsidP="00862C75">
      <w:pPr>
        <w:shd w:val="clear" w:color="auto" w:fill="FFFFFF"/>
        <w:spacing w:line="254" w:lineRule="exact"/>
        <w:ind w:left="34" w:right="2751" w:firstLine="2518"/>
        <w:rPr>
          <w:rFonts w:ascii="Times New Roman" w:hAnsi="Times New Roman" w:cs="Times New Roman"/>
          <w:b/>
          <w:bCs/>
          <w:spacing w:val="-2"/>
          <w:sz w:val="22"/>
          <w:szCs w:val="22"/>
          <w:lang w:val="en-US"/>
        </w:rPr>
      </w:pPr>
      <w:r w:rsidRPr="00862C75">
        <w:rPr>
          <w:rFonts w:ascii="Times New Roman" w:hAnsi="Times New Roman" w:cs="Times New Roman"/>
          <w:b/>
          <w:bCs/>
          <w:spacing w:val="-2"/>
          <w:sz w:val="24"/>
          <w:szCs w:val="24"/>
          <w:lang w:val="en-US"/>
        </w:rPr>
        <w:t>Questionnaire for Member States</w:t>
      </w:r>
      <w:r>
        <w:rPr>
          <w:rFonts w:ascii="Times New Roman" w:hAnsi="Times New Roman" w:cs="Times New Roman"/>
          <w:b/>
          <w:bCs/>
          <w:spacing w:val="-2"/>
          <w:sz w:val="22"/>
          <w:szCs w:val="22"/>
          <w:lang w:val="en-US"/>
        </w:rPr>
        <w:t xml:space="preserve"> </w:t>
      </w:r>
    </w:p>
    <w:p w:rsidR="00860873" w:rsidRPr="00997DD0" w:rsidRDefault="00860873" w:rsidP="00862C75">
      <w:pPr>
        <w:shd w:val="clear" w:color="auto" w:fill="FFFFFF"/>
        <w:spacing w:line="254" w:lineRule="exact"/>
        <w:ind w:left="34" w:right="2751" w:hanging="34"/>
        <w:rPr>
          <w:u w:val="single"/>
        </w:rPr>
      </w:pPr>
      <w:r w:rsidRPr="00997DD0">
        <w:rPr>
          <w:rFonts w:ascii="Times New Roman" w:hAnsi="Times New Roman" w:cs="Times New Roman"/>
          <w:b/>
          <w:bCs/>
          <w:sz w:val="22"/>
          <w:szCs w:val="22"/>
          <w:u w:val="single"/>
          <w:lang w:val="en-US"/>
        </w:rPr>
        <w:t>A. General</w:t>
      </w:r>
    </w:p>
    <w:p w:rsidR="00860873" w:rsidRDefault="00860873">
      <w:pPr>
        <w:shd w:val="clear" w:color="auto" w:fill="FFFFFF"/>
        <w:spacing w:before="235"/>
        <w:ind w:left="38"/>
      </w:pPr>
      <w:r>
        <w:rPr>
          <w:rFonts w:ascii="Times New Roman" w:hAnsi="Times New Roman" w:cs="Times New Roman"/>
          <w:i/>
          <w:iCs/>
          <w:spacing w:val="-1"/>
          <w:sz w:val="22"/>
          <w:szCs w:val="22"/>
          <w:lang w:val="en-US"/>
        </w:rPr>
        <w:t>Ownership and operation</w:t>
      </w:r>
    </w:p>
    <w:p w:rsidR="00860873" w:rsidRDefault="00860873" w:rsidP="00AD0178">
      <w:pPr>
        <w:numPr>
          <w:ilvl w:val="0"/>
          <w:numId w:val="1"/>
        </w:numPr>
        <w:shd w:val="clear" w:color="auto" w:fill="FFFFFF"/>
        <w:tabs>
          <w:tab w:val="left" w:pos="648"/>
        </w:tabs>
        <w:spacing w:before="211" w:line="288" w:lineRule="exact"/>
        <w:ind w:left="648" w:hanging="346"/>
        <w:jc w:val="both"/>
        <w:rPr>
          <w:rFonts w:ascii="Times New Roman" w:hAnsi="Times New Roman" w:cs="Times New Roman"/>
          <w:spacing w:val="-25"/>
          <w:sz w:val="22"/>
          <w:szCs w:val="22"/>
          <w:lang w:val="en-US"/>
        </w:rPr>
      </w:pPr>
      <w:r>
        <w:rPr>
          <w:rFonts w:ascii="Times New Roman" w:hAnsi="Times New Roman" w:cs="Times New Roman"/>
          <w:sz w:val="22"/>
          <w:szCs w:val="22"/>
          <w:lang w:val="en-US"/>
        </w:rPr>
        <w:t xml:space="preserve">Please provide the following information for each core port identified in </w:t>
      </w:r>
      <w:proofErr w:type="spellStart"/>
      <w:r>
        <w:rPr>
          <w:rFonts w:ascii="Times New Roman" w:hAnsi="Times New Roman" w:cs="Times New Roman"/>
          <w:sz w:val="22"/>
          <w:szCs w:val="22"/>
          <w:lang w:val="en-US"/>
        </w:rPr>
        <w:t>Annexe</w:t>
      </w:r>
      <w:proofErr w:type="spellEnd"/>
      <w:r>
        <w:rPr>
          <w:rFonts w:ascii="Times New Roman" w:hAnsi="Times New Roman" w:cs="Times New Roman"/>
          <w:sz w:val="22"/>
          <w:szCs w:val="22"/>
          <w:lang w:val="en-US"/>
        </w:rPr>
        <w:t xml:space="preserve"> II of the draft Regulation on the guidelines for the development of the trans-European network (the list is </w:t>
      </w:r>
      <w:r>
        <w:rPr>
          <w:rFonts w:ascii="Times New Roman" w:hAnsi="Times New Roman" w:cs="Times New Roman"/>
          <w:spacing w:val="-1"/>
          <w:sz w:val="22"/>
          <w:szCs w:val="22"/>
          <w:lang w:val="en-US"/>
        </w:rPr>
        <w:t xml:space="preserve">attached) and for each of the 5 largest intermodal platforms in your country in terms of annual </w:t>
      </w:r>
      <w:r>
        <w:rPr>
          <w:rFonts w:ascii="Times New Roman" w:hAnsi="Times New Roman" w:cs="Times New Roman"/>
          <w:sz w:val="22"/>
          <w:szCs w:val="22"/>
          <w:lang w:val="en-US"/>
        </w:rPr>
        <w:t>throughput (uploaded and downloaded) or traffic volume: a) whether ownership is public or private (where mixed, please also indicate percentages); b) the legal status of the port owner and of the port manager; c) whether the port manager also operates the infrastructure, or the operation is entrusted to separate entities; d) whether it is a freight, passenger or mixed port; e) the annual throughput (cargo and/or passengers); f) whether the port manager has financial autonomy, i.e. capacity to raise and use its own resources independently of the public budget.</w:t>
      </w:r>
    </w:p>
    <w:p w:rsidR="00860873" w:rsidRDefault="00860873" w:rsidP="00AD0178">
      <w:pPr>
        <w:numPr>
          <w:ilvl w:val="0"/>
          <w:numId w:val="1"/>
        </w:numPr>
        <w:shd w:val="clear" w:color="auto" w:fill="FFFFFF"/>
        <w:tabs>
          <w:tab w:val="left" w:pos="648"/>
        </w:tabs>
        <w:spacing w:before="197" w:line="293" w:lineRule="exact"/>
        <w:ind w:left="648" w:right="19" w:hanging="346"/>
        <w:jc w:val="both"/>
        <w:rPr>
          <w:rFonts w:ascii="Times New Roman" w:hAnsi="Times New Roman" w:cs="Times New Roman"/>
          <w:spacing w:val="-10"/>
          <w:sz w:val="22"/>
          <w:szCs w:val="22"/>
          <w:lang w:val="en-US"/>
        </w:rPr>
      </w:pPr>
      <w:r>
        <w:rPr>
          <w:rFonts w:ascii="Times New Roman" w:hAnsi="Times New Roman" w:cs="Times New Roman"/>
          <w:sz w:val="22"/>
          <w:szCs w:val="22"/>
          <w:lang w:val="en-US"/>
        </w:rPr>
        <w:t>Please provide a separate list of the private-owned ports in your country (in case of mixed ownership, those ports where the private owners have control).</w:t>
      </w:r>
    </w:p>
    <w:p w:rsidR="00860873" w:rsidRDefault="00860873" w:rsidP="00AD0178">
      <w:pPr>
        <w:numPr>
          <w:ilvl w:val="0"/>
          <w:numId w:val="1"/>
        </w:numPr>
        <w:shd w:val="clear" w:color="auto" w:fill="FFFFFF"/>
        <w:tabs>
          <w:tab w:val="left" w:pos="648"/>
        </w:tabs>
        <w:spacing w:before="226"/>
        <w:ind w:left="302"/>
        <w:rPr>
          <w:rFonts w:ascii="Times New Roman" w:hAnsi="Times New Roman" w:cs="Times New Roman"/>
          <w:spacing w:val="-13"/>
          <w:sz w:val="22"/>
          <w:szCs w:val="22"/>
          <w:lang w:val="en-US"/>
        </w:rPr>
      </w:pPr>
      <w:r>
        <w:rPr>
          <w:rFonts w:ascii="Times New Roman" w:hAnsi="Times New Roman" w:cs="Times New Roman"/>
          <w:sz w:val="22"/>
          <w:szCs w:val="22"/>
          <w:lang w:val="en-US"/>
        </w:rPr>
        <w:t>Are there regulatory barriers to private investment in port infrastructures in your country?</w:t>
      </w:r>
    </w:p>
    <w:p w:rsidR="00860873" w:rsidRDefault="00860873" w:rsidP="00AD0178">
      <w:pPr>
        <w:numPr>
          <w:ilvl w:val="0"/>
          <w:numId w:val="1"/>
        </w:numPr>
        <w:shd w:val="clear" w:color="auto" w:fill="FFFFFF"/>
        <w:tabs>
          <w:tab w:val="left" w:pos="648"/>
        </w:tabs>
        <w:spacing w:before="206" w:line="283" w:lineRule="exact"/>
        <w:ind w:left="648" w:right="19" w:hanging="346"/>
        <w:jc w:val="both"/>
        <w:rPr>
          <w:rFonts w:ascii="Times New Roman" w:hAnsi="Times New Roman" w:cs="Times New Roman"/>
          <w:spacing w:val="-10"/>
          <w:sz w:val="22"/>
          <w:szCs w:val="22"/>
          <w:lang w:val="en-US"/>
        </w:rPr>
      </w:pPr>
      <w:r>
        <w:rPr>
          <w:rFonts w:ascii="Times New Roman" w:hAnsi="Times New Roman" w:cs="Times New Roman"/>
          <w:sz w:val="22"/>
          <w:szCs w:val="22"/>
          <w:lang w:val="en-US"/>
        </w:rPr>
        <w:t>Are intermodal platforms different from sea and inland ports in terms of ownership and operation models? If so, are there any economic reasons for the differences?</w:t>
      </w:r>
    </w:p>
    <w:p w:rsidR="00860873" w:rsidRDefault="00860873" w:rsidP="00AD0178">
      <w:pPr>
        <w:numPr>
          <w:ilvl w:val="0"/>
          <w:numId w:val="1"/>
        </w:numPr>
        <w:shd w:val="clear" w:color="auto" w:fill="FFFFFF"/>
        <w:tabs>
          <w:tab w:val="left" w:pos="648"/>
        </w:tabs>
        <w:spacing w:before="197" w:line="293" w:lineRule="exact"/>
        <w:ind w:left="648" w:right="10" w:hanging="346"/>
        <w:jc w:val="both"/>
        <w:rPr>
          <w:rFonts w:ascii="Times New Roman" w:hAnsi="Times New Roman" w:cs="Times New Roman"/>
          <w:spacing w:val="-15"/>
          <w:sz w:val="22"/>
          <w:szCs w:val="22"/>
          <w:lang w:val="en-US"/>
        </w:rPr>
      </w:pPr>
      <w:r>
        <w:rPr>
          <w:rFonts w:ascii="Times New Roman" w:hAnsi="Times New Roman" w:cs="Times New Roman"/>
          <w:spacing w:val="-3"/>
          <w:sz w:val="22"/>
          <w:szCs w:val="22"/>
          <w:lang w:val="en-US"/>
        </w:rPr>
        <w:t>Which port services are provided in your country by port management bodies,</w:t>
      </w:r>
      <w:r w:rsidR="001E764E">
        <w:rPr>
          <w:rStyle w:val="FootnoteReference"/>
          <w:rFonts w:ascii="Times New Roman" w:hAnsi="Times New Roman" w:cs="Times New Roman"/>
          <w:spacing w:val="-3"/>
          <w:sz w:val="22"/>
          <w:szCs w:val="22"/>
          <w:lang w:val="en-US"/>
        </w:rPr>
        <w:footnoteReference w:id="1"/>
      </w:r>
      <w:r>
        <w:rPr>
          <w:rFonts w:ascii="Times New Roman" w:hAnsi="Times New Roman" w:cs="Times New Roman"/>
          <w:spacing w:val="-3"/>
          <w:sz w:val="22"/>
          <w:szCs w:val="22"/>
          <w:lang w:val="en-US"/>
        </w:rPr>
        <w:t xml:space="preserve"> and which port </w:t>
      </w:r>
      <w:r>
        <w:rPr>
          <w:rFonts w:ascii="Times New Roman" w:hAnsi="Times New Roman" w:cs="Times New Roman"/>
          <w:sz w:val="22"/>
          <w:szCs w:val="22"/>
          <w:lang w:val="en-US"/>
        </w:rPr>
        <w:t>services are provided by other public or private operators</w:t>
      </w:r>
      <w:r w:rsidR="00135533">
        <w:rPr>
          <w:rStyle w:val="FootnoteReference"/>
          <w:rFonts w:ascii="Times New Roman" w:hAnsi="Times New Roman" w:cs="Times New Roman"/>
          <w:sz w:val="22"/>
          <w:szCs w:val="22"/>
          <w:lang w:val="en-US"/>
        </w:rPr>
        <w:footnoteReference w:id="2"/>
      </w:r>
      <w:r>
        <w:rPr>
          <w:rFonts w:ascii="Times New Roman" w:hAnsi="Times New Roman" w:cs="Times New Roman"/>
          <w:sz w:val="22"/>
          <w:szCs w:val="22"/>
          <w:lang w:val="en-US"/>
        </w:rPr>
        <w:t>?</w:t>
      </w:r>
    </w:p>
    <w:p w:rsidR="00860873" w:rsidRDefault="00860873" w:rsidP="00AD0178">
      <w:pPr>
        <w:numPr>
          <w:ilvl w:val="0"/>
          <w:numId w:val="1"/>
        </w:numPr>
        <w:shd w:val="clear" w:color="auto" w:fill="FFFFFF"/>
        <w:tabs>
          <w:tab w:val="left" w:pos="648"/>
        </w:tabs>
        <w:spacing w:before="202" w:line="288" w:lineRule="exact"/>
        <w:ind w:left="648" w:right="24" w:hanging="346"/>
        <w:jc w:val="both"/>
        <w:rPr>
          <w:rFonts w:ascii="Times New Roman" w:hAnsi="Times New Roman" w:cs="Times New Roman"/>
          <w:spacing w:val="-15"/>
          <w:sz w:val="22"/>
          <w:szCs w:val="22"/>
          <w:lang w:val="en-US"/>
        </w:rPr>
      </w:pPr>
      <w:r>
        <w:rPr>
          <w:rFonts w:ascii="Times New Roman" w:hAnsi="Times New Roman" w:cs="Times New Roman"/>
          <w:sz w:val="22"/>
          <w:szCs w:val="22"/>
          <w:lang w:val="en-US"/>
        </w:rPr>
        <w:t>Please indicate which port services can typically be offered on a profitable basis. Accordingly, which port services cannot be offered without state support? Clarify what port services are considered as a part of a public service required by the State.</w:t>
      </w:r>
    </w:p>
    <w:p w:rsidR="00860873" w:rsidRDefault="00860873" w:rsidP="00AD0178">
      <w:pPr>
        <w:numPr>
          <w:ilvl w:val="0"/>
          <w:numId w:val="1"/>
        </w:numPr>
        <w:shd w:val="clear" w:color="auto" w:fill="FFFFFF"/>
        <w:tabs>
          <w:tab w:val="left" w:pos="648"/>
        </w:tabs>
        <w:spacing w:before="206" w:line="288" w:lineRule="exact"/>
        <w:ind w:left="648" w:right="19" w:hanging="346"/>
        <w:jc w:val="both"/>
        <w:rPr>
          <w:rFonts w:ascii="Times New Roman" w:hAnsi="Times New Roman" w:cs="Times New Roman"/>
          <w:spacing w:val="-14"/>
          <w:sz w:val="22"/>
          <w:szCs w:val="22"/>
          <w:lang w:val="en-US"/>
        </w:rPr>
      </w:pPr>
      <w:r>
        <w:rPr>
          <w:rFonts w:ascii="Times New Roman" w:hAnsi="Times New Roman" w:cs="Times New Roman"/>
          <w:sz w:val="22"/>
          <w:szCs w:val="22"/>
          <w:lang w:val="en-US"/>
        </w:rPr>
        <w:t>Please detail the revenue sources of the management bodies of ports in your country and the typical share that port infrastructure charges</w:t>
      </w:r>
      <w:r w:rsidR="001E764E">
        <w:rPr>
          <w:rStyle w:val="FootnoteReference"/>
          <w:rFonts w:ascii="Times New Roman" w:hAnsi="Times New Roman" w:cs="Times New Roman"/>
          <w:sz w:val="22"/>
          <w:szCs w:val="22"/>
          <w:lang w:val="en-US"/>
        </w:rPr>
        <w:footnoteReference w:id="3"/>
      </w:r>
      <w:r>
        <w:rPr>
          <w:rFonts w:ascii="Times New Roman" w:hAnsi="Times New Roman" w:cs="Times New Roman"/>
          <w:sz w:val="22"/>
          <w:szCs w:val="22"/>
          <w:lang w:val="en-US"/>
        </w:rPr>
        <w:t xml:space="preserve"> represent in the revenues of ports in your country.</w:t>
      </w:r>
    </w:p>
    <w:p w:rsidR="00860873" w:rsidRDefault="00860873" w:rsidP="00BF354B">
      <w:pPr>
        <w:numPr>
          <w:ilvl w:val="0"/>
          <w:numId w:val="1"/>
        </w:numPr>
        <w:shd w:val="clear" w:color="auto" w:fill="FFFFFF"/>
        <w:tabs>
          <w:tab w:val="left" w:pos="648"/>
        </w:tabs>
        <w:spacing w:before="197" w:line="293" w:lineRule="exact"/>
        <w:ind w:left="696" w:right="10" w:hanging="346"/>
        <w:jc w:val="both"/>
      </w:pPr>
      <w:r w:rsidRPr="00BF354B">
        <w:rPr>
          <w:rFonts w:ascii="Times New Roman" w:hAnsi="Times New Roman" w:cs="Times New Roman"/>
          <w:sz w:val="22"/>
          <w:szCs w:val="22"/>
          <w:lang w:val="en-US"/>
        </w:rPr>
        <w:t>List the types of fees/dues/taxes which are charged by the port managing bodies in your country, indicating how these fees/dues/taxes are set and changed/updated. Are there any</w:t>
      </w:r>
      <w:r w:rsidR="00BF354B" w:rsidRPr="00BF354B">
        <w:rPr>
          <w:rFonts w:ascii="Times New Roman" w:hAnsi="Times New Roman" w:cs="Times New Roman"/>
          <w:sz w:val="22"/>
          <w:szCs w:val="22"/>
          <w:lang w:val="en-US"/>
        </w:rPr>
        <w:t xml:space="preserve"> </w:t>
      </w:r>
      <w:proofErr w:type="gramStart"/>
      <w:r w:rsidRPr="00BF354B">
        <w:rPr>
          <w:rFonts w:ascii="Times New Roman" w:hAnsi="Times New Roman" w:cs="Times New Roman"/>
          <w:sz w:val="22"/>
          <w:szCs w:val="22"/>
          <w:lang w:val="en-US"/>
        </w:rPr>
        <w:t>derogations</w:t>
      </w:r>
      <w:proofErr w:type="gramEnd"/>
      <w:r w:rsidRPr="00BF354B">
        <w:rPr>
          <w:rFonts w:ascii="Times New Roman" w:hAnsi="Times New Roman" w:cs="Times New Roman"/>
          <w:sz w:val="22"/>
          <w:szCs w:val="22"/>
          <w:lang w:val="en-US"/>
        </w:rPr>
        <w:t xml:space="preserve"> from port fees/charges available in your jurisdiction? If so, please list the applicable derogations, and explain their rationale.</w:t>
      </w:r>
    </w:p>
    <w:p w:rsidR="00860873" w:rsidRDefault="00860873" w:rsidP="00AD0178">
      <w:pPr>
        <w:numPr>
          <w:ilvl w:val="0"/>
          <w:numId w:val="2"/>
        </w:numPr>
        <w:shd w:val="clear" w:color="auto" w:fill="FFFFFF"/>
        <w:tabs>
          <w:tab w:val="left" w:pos="643"/>
        </w:tabs>
        <w:spacing w:before="192" w:line="288" w:lineRule="exact"/>
        <w:ind w:left="643" w:right="5" w:hanging="336"/>
        <w:jc w:val="both"/>
        <w:rPr>
          <w:rFonts w:ascii="Times New Roman" w:hAnsi="Times New Roman" w:cs="Times New Roman"/>
          <w:spacing w:val="-8"/>
          <w:sz w:val="22"/>
          <w:szCs w:val="22"/>
          <w:lang w:val="en-US"/>
        </w:rPr>
      </w:pPr>
      <w:r>
        <w:rPr>
          <w:rFonts w:ascii="Times New Roman" w:hAnsi="Times New Roman" w:cs="Times New Roman"/>
          <w:sz w:val="22"/>
          <w:szCs w:val="22"/>
          <w:lang w:val="en-US"/>
        </w:rPr>
        <w:t xml:space="preserve">Please provide a concise explanation of the procedures for the conclusion of concession or </w:t>
      </w:r>
      <w:r>
        <w:rPr>
          <w:rFonts w:ascii="Times New Roman" w:hAnsi="Times New Roman" w:cs="Times New Roman"/>
          <w:spacing w:val="-1"/>
          <w:sz w:val="22"/>
          <w:szCs w:val="22"/>
          <w:lang w:val="en-US"/>
        </w:rPr>
        <w:t xml:space="preserve">other type of contracts (e.g. land lease contracts) with port service providers (such as terminal </w:t>
      </w:r>
      <w:r>
        <w:rPr>
          <w:rFonts w:ascii="Times New Roman" w:hAnsi="Times New Roman" w:cs="Times New Roman"/>
          <w:sz w:val="22"/>
          <w:szCs w:val="22"/>
          <w:lang w:val="en-US"/>
        </w:rPr>
        <w:t xml:space="preserve">operators) and the method for establishing the concession/contract fees. Are concession/contract </w:t>
      </w:r>
      <w:r>
        <w:rPr>
          <w:rFonts w:ascii="Times New Roman" w:hAnsi="Times New Roman" w:cs="Times New Roman"/>
          <w:sz w:val="22"/>
          <w:szCs w:val="22"/>
          <w:lang w:val="en-US"/>
        </w:rPr>
        <w:lastRenderedPageBreak/>
        <w:t>fees linked to traffic volume indicators? If so, are there any penalties applied for not meeting the agreed traffic volume indicators? Please give examples.</w:t>
      </w:r>
    </w:p>
    <w:p w:rsidR="00860873" w:rsidRDefault="00860873" w:rsidP="00AD0178">
      <w:pPr>
        <w:numPr>
          <w:ilvl w:val="0"/>
          <w:numId w:val="2"/>
        </w:numPr>
        <w:shd w:val="clear" w:color="auto" w:fill="FFFFFF"/>
        <w:tabs>
          <w:tab w:val="left" w:pos="643"/>
        </w:tabs>
        <w:spacing w:before="202" w:line="288" w:lineRule="exact"/>
        <w:ind w:left="643" w:right="14" w:hanging="336"/>
        <w:jc w:val="both"/>
        <w:rPr>
          <w:rFonts w:ascii="Times New Roman" w:hAnsi="Times New Roman" w:cs="Times New Roman"/>
          <w:spacing w:val="-10"/>
          <w:sz w:val="22"/>
          <w:szCs w:val="22"/>
          <w:lang w:val="en-US"/>
        </w:rPr>
      </w:pPr>
      <w:r>
        <w:rPr>
          <w:rFonts w:ascii="Times New Roman" w:hAnsi="Times New Roman" w:cs="Times New Roman"/>
          <w:spacing w:val="-1"/>
          <w:sz w:val="22"/>
          <w:szCs w:val="22"/>
          <w:lang w:val="en-US"/>
        </w:rPr>
        <w:t xml:space="preserve">Please explain whether it is common practice for port service providers to negotiate prices with </w:t>
      </w:r>
      <w:r>
        <w:rPr>
          <w:rFonts w:ascii="Times New Roman" w:hAnsi="Times New Roman" w:cs="Times New Roman"/>
          <w:sz w:val="22"/>
          <w:szCs w:val="22"/>
          <w:lang w:val="en-US"/>
        </w:rPr>
        <w:t>individual users or to apply uniform (list) charges.</w:t>
      </w:r>
    </w:p>
    <w:p w:rsidR="00860873" w:rsidRDefault="00860873">
      <w:pPr>
        <w:shd w:val="clear" w:color="auto" w:fill="FFFFFF"/>
        <w:spacing w:before="230"/>
        <w:ind w:left="298"/>
      </w:pPr>
      <w:r>
        <w:rPr>
          <w:rFonts w:ascii="Times New Roman" w:hAnsi="Times New Roman" w:cs="Times New Roman"/>
          <w:i/>
          <w:iCs/>
          <w:sz w:val="22"/>
          <w:szCs w:val="22"/>
          <w:lang w:val="en-US"/>
        </w:rPr>
        <w:t>Market developments and the approach to infrastructure investments</w:t>
      </w:r>
    </w:p>
    <w:p w:rsidR="00860873" w:rsidRDefault="00860873" w:rsidP="00AD0178">
      <w:pPr>
        <w:numPr>
          <w:ilvl w:val="0"/>
          <w:numId w:val="3"/>
        </w:numPr>
        <w:shd w:val="clear" w:color="auto" w:fill="FFFFFF"/>
        <w:tabs>
          <w:tab w:val="left" w:pos="643"/>
        </w:tabs>
        <w:spacing w:before="206" w:line="288" w:lineRule="exact"/>
        <w:ind w:left="643" w:right="19" w:hanging="336"/>
        <w:jc w:val="both"/>
        <w:rPr>
          <w:rFonts w:ascii="Times New Roman" w:hAnsi="Times New Roman" w:cs="Times New Roman"/>
          <w:spacing w:val="-13"/>
          <w:sz w:val="22"/>
          <w:szCs w:val="22"/>
          <w:lang w:val="en-US"/>
        </w:rPr>
      </w:pPr>
      <w:r>
        <w:rPr>
          <w:rFonts w:ascii="Times New Roman" w:hAnsi="Times New Roman" w:cs="Times New Roman"/>
          <w:spacing w:val="-2"/>
          <w:sz w:val="22"/>
          <w:szCs w:val="22"/>
          <w:lang w:val="en-US"/>
        </w:rPr>
        <w:t xml:space="preserve">Where do you see the major competition challenges for ports in the medium-term (in the next 5 </w:t>
      </w:r>
      <w:r>
        <w:rPr>
          <w:rFonts w:ascii="Times New Roman" w:hAnsi="Times New Roman" w:cs="Times New Roman"/>
          <w:sz w:val="22"/>
          <w:szCs w:val="22"/>
          <w:lang w:val="en-US"/>
        </w:rPr>
        <w:t>years) and long-term (after the next 5 years)?</w:t>
      </w:r>
    </w:p>
    <w:p w:rsidR="00860873" w:rsidRPr="00B11896" w:rsidRDefault="00860873" w:rsidP="00AD0178">
      <w:pPr>
        <w:numPr>
          <w:ilvl w:val="0"/>
          <w:numId w:val="3"/>
        </w:numPr>
        <w:shd w:val="clear" w:color="auto" w:fill="FFFFFF"/>
        <w:tabs>
          <w:tab w:val="left" w:pos="643"/>
        </w:tabs>
        <w:spacing w:before="206" w:line="288" w:lineRule="exact"/>
        <w:ind w:left="643" w:right="14" w:hanging="336"/>
        <w:jc w:val="both"/>
        <w:rPr>
          <w:rFonts w:ascii="Times New Roman" w:hAnsi="Times New Roman" w:cs="Times New Roman"/>
          <w:spacing w:val="-13"/>
          <w:sz w:val="22"/>
          <w:szCs w:val="22"/>
          <w:lang w:val="en-US"/>
        </w:rPr>
      </w:pPr>
      <w:r>
        <w:rPr>
          <w:rFonts w:ascii="Times New Roman" w:hAnsi="Times New Roman" w:cs="Times New Roman"/>
          <w:sz w:val="22"/>
          <w:szCs w:val="22"/>
          <w:lang w:val="en-US"/>
        </w:rPr>
        <w:t xml:space="preserve">Please explain the extent to which port users are able to and do switch between ports. Please </w:t>
      </w:r>
      <w:r>
        <w:rPr>
          <w:rFonts w:ascii="Times New Roman" w:hAnsi="Times New Roman" w:cs="Times New Roman"/>
          <w:spacing w:val="-1"/>
          <w:sz w:val="22"/>
          <w:szCs w:val="22"/>
          <w:lang w:val="en-US"/>
        </w:rPr>
        <w:t xml:space="preserve">explain which types of trade/port users are particularly "mobile". Please indicate, for the three </w:t>
      </w:r>
      <w:r>
        <w:rPr>
          <w:rFonts w:ascii="Times New Roman" w:hAnsi="Times New Roman" w:cs="Times New Roman"/>
          <w:sz w:val="22"/>
          <w:szCs w:val="22"/>
          <w:lang w:val="en-US"/>
        </w:rPr>
        <w:t>largest ports in your country, the main users who have switched away to other ports in the past 5 years and explain why they have switched. Please indicate the volume that these users represented and, if known, the port to which they switched.</w:t>
      </w:r>
    </w:p>
    <w:p w:rsidR="00B11896" w:rsidRDefault="00B11896" w:rsidP="00B11896">
      <w:pPr>
        <w:shd w:val="clear" w:color="auto" w:fill="FFFFFF"/>
        <w:tabs>
          <w:tab w:val="left" w:pos="643"/>
        </w:tabs>
        <w:spacing w:before="206" w:line="288" w:lineRule="exact"/>
        <w:ind w:left="643" w:right="14"/>
        <w:jc w:val="both"/>
        <w:rPr>
          <w:rFonts w:ascii="Times New Roman" w:hAnsi="Times New Roman" w:cs="Times New Roman"/>
          <w:spacing w:val="-13"/>
          <w:sz w:val="22"/>
          <w:szCs w:val="22"/>
          <w:lang w:val="en-US"/>
        </w:rPr>
      </w:pPr>
    </w:p>
    <w:p w:rsidR="00860873" w:rsidRPr="00997DD0" w:rsidRDefault="00860873">
      <w:pPr>
        <w:shd w:val="clear" w:color="auto" w:fill="FFFFFF"/>
        <w:spacing w:before="240"/>
        <w:ind w:left="14"/>
        <w:rPr>
          <w:b/>
          <w:u w:val="single"/>
        </w:rPr>
      </w:pPr>
      <w:r w:rsidRPr="00997DD0">
        <w:rPr>
          <w:rFonts w:ascii="Times New Roman" w:hAnsi="Times New Roman" w:cs="Times New Roman"/>
          <w:b/>
          <w:sz w:val="22"/>
          <w:szCs w:val="22"/>
          <w:u w:val="single"/>
          <w:lang w:val="en-US"/>
        </w:rPr>
        <w:t xml:space="preserve">B. </w:t>
      </w:r>
      <w:r w:rsidRPr="00997DD0">
        <w:rPr>
          <w:rFonts w:ascii="Times New Roman" w:hAnsi="Times New Roman" w:cs="Times New Roman"/>
          <w:b/>
          <w:bCs/>
          <w:sz w:val="22"/>
          <w:szCs w:val="22"/>
          <w:u w:val="single"/>
          <w:lang w:val="en-US"/>
        </w:rPr>
        <w:t>Public funding of infrastructure investments</w:t>
      </w:r>
    </w:p>
    <w:p w:rsidR="00860873" w:rsidRDefault="00860873" w:rsidP="00AD0178">
      <w:pPr>
        <w:numPr>
          <w:ilvl w:val="0"/>
          <w:numId w:val="4"/>
        </w:numPr>
        <w:shd w:val="clear" w:color="auto" w:fill="FFFFFF"/>
        <w:tabs>
          <w:tab w:val="left" w:pos="643"/>
        </w:tabs>
        <w:spacing w:before="197" w:line="293" w:lineRule="exact"/>
        <w:ind w:left="643" w:right="10" w:hanging="336"/>
        <w:jc w:val="both"/>
        <w:rPr>
          <w:rFonts w:ascii="Times New Roman" w:hAnsi="Times New Roman" w:cs="Times New Roman"/>
          <w:spacing w:val="-13"/>
          <w:sz w:val="22"/>
          <w:szCs w:val="22"/>
          <w:lang w:val="en-US"/>
        </w:rPr>
      </w:pPr>
      <w:r>
        <w:rPr>
          <w:rFonts w:ascii="Times New Roman" w:hAnsi="Times New Roman" w:cs="Times New Roman"/>
          <w:sz w:val="22"/>
          <w:szCs w:val="22"/>
          <w:lang w:val="en-US"/>
        </w:rPr>
        <w:t xml:space="preserve">Do you consider that the application of criteria similar to the approach set out for public </w:t>
      </w:r>
      <w:r>
        <w:rPr>
          <w:rFonts w:ascii="Times New Roman" w:hAnsi="Times New Roman" w:cs="Times New Roman"/>
          <w:spacing w:val="-2"/>
          <w:sz w:val="22"/>
          <w:szCs w:val="22"/>
          <w:lang w:val="en-US"/>
        </w:rPr>
        <w:t>investment in airport infrastructures in the draft EU Aviation Guidelines</w:t>
      </w:r>
      <w:r w:rsidR="00B11896">
        <w:rPr>
          <w:rStyle w:val="FootnoteReference"/>
          <w:rFonts w:ascii="Times New Roman" w:hAnsi="Times New Roman" w:cs="Times New Roman"/>
          <w:spacing w:val="-2"/>
          <w:sz w:val="22"/>
          <w:szCs w:val="22"/>
          <w:lang w:val="en-US"/>
        </w:rPr>
        <w:footnoteReference w:id="4"/>
      </w:r>
      <w:r>
        <w:rPr>
          <w:rFonts w:ascii="Times New Roman" w:hAnsi="Times New Roman" w:cs="Times New Roman"/>
          <w:spacing w:val="-2"/>
          <w:sz w:val="22"/>
          <w:szCs w:val="22"/>
          <w:lang w:val="en-US"/>
        </w:rPr>
        <w:t xml:space="preserve"> would be suitable for </w:t>
      </w:r>
      <w:r>
        <w:rPr>
          <w:rFonts w:ascii="Times New Roman" w:hAnsi="Times New Roman" w:cs="Times New Roman"/>
          <w:sz w:val="22"/>
          <w:szCs w:val="22"/>
          <w:lang w:val="en-US"/>
        </w:rPr>
        <w:t>port investments? Please provide reasons for your answer.</w:t>
      </w:r>
    </w:p>
    <w:p w:rsidR="00860873" w:rsidRDefault="00860873" w:rsidP="00AD0178">
      <w:pPr>
        <w:numPr>
          <w:ilvl w:val="0"/>
          <w:numId w:val="4"/>
        </w:numPr>
        <w:shd w:val="clear" w:color="auto" w:fill="FFFFFF"/>
        <w:tabs>
          <w:tab w:val="left" w:pos="643"/>
        </w:tabs>
        <w:spacing w:before="202" w:line="288" w:lineRule="exact"/>
        <w:ind w:left="643" w:right="19" w:hanging="336"/>
        <w:jc w:val="both"/>
        <w:rPr>
          <w:rFonts w:ascii="Times New Roman" w:hAnsi="Times New Roman" w:cs="Times New Roman"/>
          <w:spacing w:val="-13"/>
          <w:sz w:val="22"/>
          <w:szCs w:val="22"/>
          <w:lang w:val="en-US"/>
        </w:rPr>
      </w:pPr>
      <w:r>
        <w:rPr>
          <w:rFonts w:ascii="Times New Roman" w:hAnsi="Times New Roman" w:cs="Times New Roman"/>
          <w:spacing w:val="-1"/>
          <w:sz w:val="22"/>
          <w:szCs w:val="22"/>
          <w:lang w:val="en-US"/>
        </w:rPr>
        <w:t xml:space="preserve">Please indicate what port services are considered to be within the public remit in your country. How are these activities defined and regulated in your country? Please differentiate if necessary </w:t>
      </w:r>
      <w:r>
        <w:rPr>
          <w:rFonts w:ascii="Times New Roman" w:hAnsi="Times New Roman" w:cs="Times New Roman"/>
          <w:sz w:val="22"/>
          <w:szCs w:val="22"/>
          <w:lang w:val="en-US"/>
        </w:rPr>
        <w:t>between ports and intermodal platforms.</w:t>
      </w:r>
    </w:p>
    <w:p w:rsidR="00860873" w:rsidRDefault="00860873" w:rsidP="00AD0178">
      <w:pPr>
        <w:numPr>
          <w:ilvl w:val="0"/>
          <w:numId w:val="4"/>
        </w:numPr>
        <w:shd w:val="clear" w:color="auto" w:fill="FFFFFF"/>
        <w:tabs>
          <w:tab w:val="left" w:pos="643"/>
        </w:tabs>
        <w:spacing w:before="226"/>
        <w:ind w:left="307"/>
        <w:rPr>
          <w:rFonts w:ascii="Times New Roman" w:hAnsi="Times New Roman" w:cs="Times New Roman"/>
          <w:spacing w:val="-15"/>
          <w:sz w:val="22"/>
          <w:szCs w:val="22"/>
          <w:lang w:val="en-US"/>
        </w:rPr>
      </w:pPr>
      <w:r>
        <w:rPr>
          <w:rFonts w:ascii="Times New Roman" w:hAnsi="Times New Roman" w:cs="Times New Roman"/>
          <w:sz w:val="22"/>
          <w:szCs w:val="22"/>
          <w:lang w:val="en-US"/>
        </w:rPr>
        <w:t>Do ports in your country keep separate accounts for services within the public remit?</w:t>
      </w:r>
    </w:p>
    <w:p w:rsidR="00860873" w:rsidRDefault="00860873" w:rsidP="00AD0178">
      <w:pPr>
        <w:numPr>
          <w:ilvl w:val="0"/>
          <w:numId w:val="4"/>
        </w:numPr>
        <w:shd w:val="clear" w:color="auto" w:fill="FFFFFF"/>
        <w:tabs>
          <w:tab w:val="left" w:pos="643"/>
        </w:tabs>
        <w:spacing w:before="206" w:line="288" w:lineRule="exact"/>
        <w:ind w:left="643" w:hanging="336"/>
        <w:jc w:val="both"/>
        <w:rPr>
          <w:rFonts w:ascii="Times New Roman" w:hAnsi="Times New Roman" w:cs="Times New Roman"/>
          <w:spacing w:val="-14"/>
          <w:sz w:val="22"/>
          <w:szCs w:val="22"/>
          <w:lang w:val="en-US"/>
        </w:rPr>
      </w:pPr>
      <w:r>
        <w:rPr>
          <w:rFonts w:ascii="Times New Roman" w:hAnsi="Times New Roman" w:cs="Times New Roman"/>
          <w:spacing w:val="-1"/>
          <w:sz w:val="22"/>
          <w:szCs w:val="22"/>
          <w:lang w:val="en-US"/>
        </w:rPr>
        <w:t xml:space="preserve">Please indicate the usual sources of funding for each type of port infrastructure. Which types of </w:t>
      </w:r>
      <w:r>
        <w:rPr>
          <w:rFonts w:ascii="Times New Roman" w:hAnsi="Times New Roman" w:cs="Times New Roman"/>
          <w:sz w:val="22"/>
          <w:szCs w:val="22"/>
          <w:lang w:val="en-US"/>
        </w:rPr>
        <w:t>infrastructure normally require state support for their construction, replacement and/or maintenance? Please, explain why.</w:t>
      </w:r>
    </w:p>
    <w:p w:rsidR="00860873" w:rsidRDefault="00860873" w:rsidP="00AD0178">
      <w:pPr>
        <w:numPr>
          <w:ilvl w:val="0"/>
          <w:numId w:val="4"/>
        </w:numPr>
        <w:shd w:val="clear" w:color="auto" w:fill="FFFFFF"/>
        <w:tabs>
          <w:tab w:val="left" w:pos="643"/>
        </w:tabs>
        <w:spacing w:before="202" w:line="293" w:lineRule="exact"/>
        <w:ind w:left="643" w:hanging="336"/>
        <w:jc w:val="both"/>
        <w:rPr>
          <w:rFonts w:ascii="Times New Roman" w:hAnsi="Times New Roman" w:cs="Times New Roman"/>
          <w:spacing w:val="-14"/>
          <w:sz w:val="22"/>
          <w:szCs w:val="22"/>
          <w:lang w:val="en-US"/>
        </w:rPr>
      </w:pPr>
      <w:r>
        <w:rPr>
          <w:rFonts w:ascii="Times New Roman" w:hAnsi="Times New Roman" w:cs="Times New Roman"/>
          <w:spacing w:val="-1"/>
          <w:sz w:val="22"/>
          <w:szCs w:val="22"/>
          <w:lang w:val="en-US"/>
        </w:rPr>
        <w:t xml:space="preserve">Does the need for public funding of new port infrastructure or replacement and maintenance of </w:t>
      </w:r>
      <w:r>
        <w:rPr>
          <w:rFonts w:ascii="Times New Roman" w:hAnsi="Times New Roman" w:cs="Times New Roman"/>
          <w:sz w:val="22"/>
          <w:szCs w:val="22"/>
          <w:lang w:val="en-US"/>
        </w:rPr>
        <w:t>existing port infrastructure vary according to the size of the port?</w:t>
      </w:r>
    </w:p>
    <w:p w:rsidR="00000000" w:rsidRDefault="004155B4" w:rsidP="00612D01">
      <w:pPr>
        <w:numPr>
          <w:ilvl w:val="0"/>
          <w:numId w:val="4"/>
        </w:numPr>
        <w:shd w:val="clear" w:color="auto" w:fill="FFFFFF"/>
        <w:tabs>
          <w:tab w:val="left" w:pos="643"/>
        </w:tabs>
        <w:spacing w:before="120"/>
        <w:ind w:left="643" w:right="29" w:hanging="336"/>
        <w:jc w:val="both"/>
        <w:rPr>
          <w:rFonts w:ascii="Times New Roman" w:hAnsi="Times New Roman" w:cs="Times New Roman"/>
          <w:spacing w:val="-16"/>
          <w:sz w:val="22"/>
          <w:szCs w:val="22"/>
          <w:lang w:val="en-US"/>
        </w:rPr>
      </w:pPr>
      <w:r>
        <w:rPr>
          <w:rFonts w:ascii="Times New Roman" w:hAnsi="Times New Roman" w:cs="Times New Roman"/>
          <w:spacing w:val="-2"/>
          <w:sz w:val="22"/>
          <w:szCs w:val="22"/>
          <w:lang w:val="en-US"/>
        </w:rPr>
        <w:t xml:space="preserve">Please explain whether in your view the investment in, and operation of ports is associated with </w:t>
      </w:r>
      <w:r>
        <w:rPr>
          <w:rFonts w:ascii="Times New Roman" w:hAnsi="Times New Roman" w:cs="Times New Roman"/>
          <w:sz w:val="22"/>
          <w:szCs w:val="22"/>
          <w:lang w:val="en-US"/>
        </w:rPr>
        <w:t>market failures, which prevent an efficient level of port services to be provided by private operators, without state support.</w:t>
      </w:r>
    </w:p>
    <w:p w:rsidR="00000000" w:rsidRDefault="004155B4" w:rsidP="00612D01">
      <w:pPr>
        <w:numPr>
          <w:ilvl w:val="0"/>
          <w:numId w:val="5"/>
        </w:numPr>
        <w:shd w:val="clear" w:color="auto" w:fill="FFFFFF"/>
        <w:tabs>
          <w:tab w:val="left" w:pos="638"/>
        </w:tabs>
        <w:spacing w:before="120"/>
        <w:ind w:left="638" w:right="29" w:hanging="360"/>
        <w:jc w:val="both"/>
        <w:rPr>
          <w:rFonts w:ascii="Times New Roman" w:hAnsi="Times New Roman" w:cs="Times New Roman"/>
          <w:spacing w:val="-15"/>
          <w:sz w:val="22"/>
          <w:szCs w:val="22"/>
          <w:lang w:val="en-US"/>
        </w:rPr>
      </w:pPr>
      <w:r>
        <w:rPr>
          <w:rFonts w:ascii="Times New Roman" w:hAnsi="Times New Roman" w:cs="Times New Roman"/>
          <w:sz w:val="22"/>
          <w:szCs w:val="22"/>
          <w:lang w:val="en-US"/>
        </w:rPr>
        <w:t xml:space="preserve">Based on your experience, please indicate whether there are wider benefits, i.e. positive externalities, to the region associated with the presence and the operation of a port. Which are the main entities that benefit from such externalities? Accordingly, </w:t>
      </w:r>
      <w:r>
        <w:rPr>
          <w:rFonts w:ascii="Times New Roman" w:hAnsi="Times New Roman" w:cs="Times New Roman"/>
          <w:sz w:val="22"/>
          <w:szCs w:val="22"/>
          <w:lang w:val="en-US"/>
        </w:rPr>
        <w:t xml:space="preserve">are there negative </w:t>
      </w:r>
      <w:r>
        <w:rPr>
          <w:rFonts w:ascii="Times New Roman" w:hAnsi="Times New Roman" w:cs="Times New Roman"/>
          <w:spacing w:val="-1"/>
          <w:sz w:val="22"/>
          <w:szCs w:val="22"/>
          <w:lang w:val="en-US"/>
        </w:rPr>
        <w:t xml:space="preserve">externalities stemming from the presence and operations of a port and which are the affected </w:t>
      </w:r>
      <w:r>
        <w:rPr>
          <w:rFonts w:ascii="Times New Roman" w:hAnsi="Times New Roman" w:cs="Times New Roman"/>
          <w:sz w:val="22"/>
          <w:szCs w:val="22"/>
          <w:lang w:val="en-US"/>
        </w:rPr>
        <w:t>entities?</w:t>
      </w:r>
    </w:p>
    <w:p w:rsidR="00860873" w:rsidRDefault="00860873" w:rsidP="00AD0178">
      <w:pPr>
        <w:numPr>
          <w:ilvl w:val="0"/>
          <w:numId w:val="5"/>
        </w:numPr>
        <w:shd w:val="clear" w:color="auto" w:fill="FFFFFF"/>
        <w:tabs>
          <w:tab w:val="left" w:pos="638"/>
        </w:tabs>
        <w:spacing w:before="192" w:line="288" w:lineRule="exact"/>
        <w:ind w:left="638" w:hanging="360"/>
        <w:jc w:val="both"/>
        <w:rPr>
          <w:rFonts w:ascii="Times New Roman" w:hAnsi="Times New Roman" w:cs="Times New Roman"/>
          <w:spacing w:val="-8"/>
          <w:sz w:val="22"/>
          <w:szCs w:val="22"/>
          <w:lang w:val="en-US"/>
        </w:rPr>
      </w:pPr>
      <w:r>
        <w:rPr>
          <w:rFonts w:ascii="Times New Roman" w:hAnsi="Times New Roman" w:cs="Times New Roman"/>
          <w:spacing w:val="-1"/>
          <w:sz w:val="22"/>
          <w:szCs w:val="22"/>
          <w:lang w:val="en-US"/>
        </w:rPr>
        <w:t xml:space="preserve">Please indicate the level of capacity </w:t>
      </w:r>
      <w:proofErr w:type="spellStart"/>
      <w:r>
        <w:rPr>
          <w:rFonts w:ascii="Times New Roman" w:hAnsi="Times New Roman" w:cs="Times New Roman"/>
          <w:spacing w:val="-1"/>
          <w:sz w:val="22"/>
          <w:szCs w:val="22"/>
          <w:lang w:val="en-US"/>
        </w:rPr>
        <w:t>utilisation</w:t>
      </w:r>
      <w:proofErr w:type="spellEnd"/>
      <w:r>
        <w:rPr>
          <w:rFonts w:ascii="Times New Roman" w:hAnsi="Times New Roman" w:cs="Times New Roman"/>
          <w:spacing w:val="-1"/>
          <w:sz w:val="22"/>
          <w:szCs w:val="22"/>
          <w:lang w:val="en-US"/>
        </w:rPr>
        <w:t xml:space="preserve"> at ports in your country for the different types of </w:t>
      </w:r>
      <w:r>
        <w:rPr>
          <w:rFonts w:ascii="Times New Roman" w:hAnsi="Times New Roman" w:cs="Times New Roman"/>
          <w:sz w:val="22"/>
          <w:szCs w:val="22"/>
          <w:lang w:val="en-US"/>
        </w:rPr>
        <w:t xml:space="preserve">trade (containers, bulk-carriers, oil, gas and chemicals tankers, car and special cargoes, ferry </w:t>
      </w:r>
      <w:proofErr w:type="gramStart"/>
      <w:r>
        <w:rPr>
          <w:rFonts w:ascii="Times New Roman" w:hAnsi="Times New Roman" w:cs="Times New Roman"/>
          <w:sz w:val="22"/>
          <w:szCs w:val="22"/>
          <w:lang w:val="en-US"/>
        </w:rPr>
        <w:t>passengers</w:t>
      </w:r>
      <w:proofErr w:type="gramEnd"/>
      <w:r>
        <w:rPr>
          <w:rFonts w:ascii="Times New Roman" w:hAnsi="Times New Roman" w:cs="Times New Roman"/>
          <w:sz w:val="22"/>
          <w:szCs w:val="22"/>
          <w:lang w:val="en-US"/>
        </w:rPr>
        <w:t>, cruise-ship passengers). In your opinion, is there a problem/possible problem of overcapacity and/or congestion in the ports sector? Please explain your answer. Please also describe any major future developments in terms of port capacity in your country.</w:t>
      </w:r>
    </w:p>
    <w:p w:rsidR="00860873" w:rsidRDefault="00860873" w:rsidP="00AD0178">
      <w:pPr>
        <w:numPr>
          <w:ilvl w:val="0"/>
          <w:numId w:val="5"/>
        </w:numPr>
        <w:shd w:val="clear" w:color="auto" w:fill="FFFFFF"/>
        <w:tabs>
          <w:tab w:val="left" w:pos="638"/>
        </w:tabs>
        <w:spacing w:before="197" w:line="293" w:lineRule="exact"/>
        <w:ind w:left="638" w:right="24" w:hanging="360"/>
        <w:jc w:val="both"/>
        <w:rPr>
          <w:rFonts w:ascii="Times New Roman" w:hAnsi="Times New Roman" w:cs="Times New Roman"/>
          <w:spacing w:val="-8"/>
          <w:sz w:val="22"/>
          <w:szCs w:val="22"/>
          <w:lang w:val="en-US"/>
        </w:rPr>
      </w:pPr>
      <w:r>
        <w:rPr>
          <w:rFonts w:ascii="Times New Roman" w:hAnsi="Times New Roman" w:cs="Times New Roman"/>
          <w:sz w:val="22"/>
          <w:szCs w:val="22"/>
          <w:lang w:val="en-US"/>
        </w:rPr>
        <w:lastRenderedPageBreak/>
        <w:t>Would you find necessary/appropriate an approach looking at the impact of a new investment on existing capacities, such as the one developed in recitals 81 and 82 of the draft Aviation Guidelines?</w:t>
      </w:r>
    </w:p>
    <w:p w:rsidR="00860873" w:rsidRDefault="00860873" w:rsidP="00AD0178">
      <w:pPr>
        <w:numPr>
          <w:ilvl w:val="0"/>
          <w:numId w:val="5"/>
        </w:numPr>
        <w:shd w:val="clear" w:color="auto" w:fill="FFFFFF"/>
        <w:tabs>
          <w:tab w:val="left" w:pos="638"/>
        </w:tabs>
        <w:spacing w:before="187" w:line="293" w:lineRule="exact"/>
        <w:ind w:left="638" w:right="29" w:hanging="360"/>
        <w:jc w:val="both"/>
        <w:rPr>
          <w:rFonts w:ascii="Times New Roman" w:hAnsi="Times New Roman" w:cs="Times New Roman"/>
          <w:spacing w:val="-7"/>
          <w:sz w:val="22"/>
          <w:szCs w:val="22"/>
          <w:lang w:val="en-US"/>
        </w:rPr>
      </w:pPr>
      <w:r>
        <w:rPr>
          <w:rFonts w:ascii="Times New Roman" w:hAnsi="Times New Roman" w:cs="Times New Roman"/>
          <w:spacing w:val="-1"/>
          <w:sz w:val="22"/>
          <w:szCs w:val="22"/>
          <w:lang w:val="en-US"/>
        </w:rPr>
        <w:t xml:space="preserve">How could maximum aid intensities based on traffic volume/ throughput thresholds, similar to </w:t>
      </w:r>
      <w:r>
        <w:rPr>
          <w:rFonts w:ascii="Times New Roman" w:hAnsi="Times New Roman" w:cs="Times New Roman"/>
          <w:sz w:val="22"/>
          <w:szCs w:val="22"/>
          <w:lang w:val="en-US"/>
        </w:rPr>
        <w:t xml:space="preserve">those specified in recital 92 of the draft Aviation Guidelines, be defined for ports? Which metrics should be used for defining similar traffic volume thresholds for ports (for example </w:t>
      </w:r>
      <w:proofErr w:type="spellStart"/>
      <w:r>
        <w:rPr>
          <w:rFonts w:ascii="Times New Roman" w:hAnsi="Times New Roman" w:cs="Times New Roman"/>
          <w:sz w:val="22"/>
          <w:szCs w:val="22"/>
          <w:lang w:val="en-US"/>
        </w:rPr>
        <w:t>tonnes</w:t>
      </w:r>
      <w:proofErr w:type="spellEnd"/>
      <w:r>
        <w:rPr>
          <w:rFonts w:ascii="Times New Roman" w:hAnsi="Times New Roman" w:cs="Times New Roman"/>
          <w:sz w:val="22"/>
          <w:szCs w:val="22"/>
          <w:lang w:val="en-US"/>
        </w:rPr>
        <w:t xml:space="preserve"> of cargo, perhaps also differentiating by types of cargo, number of passengers, etc.)?</w:t>
      </w:r>
    </w:p>
    <w:p w:rsidR="00860873" w:rsidRDefault="00860873" w:rsidP="00AD0178">
      <w:pPr>
        <w:numPr>
          <w:ilvl w:val="0"/>
          <w:numId w:val="5"/>
        </w:numPr>
        <w:shd w:val="clear" w:color="auto" w:fill="FFFFFF"/>
        <w:tabs>
          <w:tab w:val="left" w:pos="638"/>
        </w:tabs>
        <w:spacing w:before="187" w:line="288" w:lineRule="exact"/>
        <w:ind w:left="638" w:right="5" w:hanging="360"/>
        <w:jc w:val="both"/>
        <w:rPr>
          <w:rFonts w:ascii="Times New Roman" w:hAnsi="Times New Roman" w:cs="Times New Roman"/>
          <w:spacing w:val="-8"/>
          <w:sz w:val="22"/>
          <w:szCs w:val="22"/>
          <w:lang w:val="en-US"/>
        </w:rPr>
      </w:pPr>
      <w:r>
        <w:rPr>
          <w:rFonts w:ascii="Times New Roman" w:hAnsi="Times New Roman" w:cs="Times New Roman"/>
          <w:spacing w:val="-1"/>
          <w:sz w:val="22"/>
          <w:szCs w:val="22"/>
          <w:lang w:val="en-US"/>
        </w:rPr>
        <w:t xml:space="preserve">What would be, in your view, the period over which infrastructure investments of commercial nature become profitable? Are there differences in this respect to be made between the types of </w:t>
      </w:r>
      <w:r>
        <w:rPr>
          <w:rFonts w:ascii="Times New Roman" w:hAnsi="Times New Roman" w:cs="Times New Roman"/>
          <w:sz w:val="22"/>
          <w:szCs w:val="22"/>
          <w:lang w:val="en-US"/>
        </w:rPr>
        <w:t>cargo transport hosted/number of passengers transported, and by traffic volumes?</w:t>
      </w:r>
    </w:p>
    <w:p w:rsidR="00860873" w:rsidRDefault="00860873" w:rsidP="00AD0178">
      <w:pPr>
        <w:numPr>
          <w:ilvl w:val="0"/>
          <w:numId w:val="5"/>
        </w:numPr>
        <w:shd w:val="clear" w:color="auto" w:fill="FFFFFF"/>
        <w:tabs>
          <w:tab w:val="left" w:pos="638"/>
        </w:tabs>
        <w:spacing w:before="206" w:line="288" w:lineRule="exact"/>
        <w:ind w:left="638" w:right="29" w:hanging="360"/>
        <w:jc w:val="both"/>
        <w:rPr>
          <w:rFonts w:ascii="Times New Roman" w:hAnsi="Times New Roman" w:cs="Times New Roman"/>
          <w:spacing w:val="-7"/>
          <w:sz w:val="22"/>
          <w:szCs w:val="22"/>
          <w:lang w:val="en-US"/>
        </w:rPr>
      </w:pPr>
      <w:r>
        <w:rPr>
          <w:rFonts w:ascii="Times New Roman" w:hAnsi="Times New Roman" w:cs="Times New Roman"/>
          <w:sz w:val="22"/>
          <w:szCs w:val="22"/>
          <w:lang w:val="en-US"/>
        </w:rPr>
        <w:t>In your experience, in the absence of state support, do investments to expand existing port capacities have a negative present value? (i.e. the discounted revenue flow during the lifetime of the investment is not sufficient to cover the cost of the investment) If so, please briefly explain the economic reasons.</w:t>
      </w:r>
    </w:p>
    <w:p w:rsidR="00860873" w:rsidRDefault="00860873" w:rsidP="00AD0178">
      <w:pPr>
        <w:numPr>
          <w:ilvl w:val="0"/>
          <w:numId w:val="5"/>
        </w:numPr>
        <w:shd w:val="clear" w:color="auto" w:fill="FFFFFF"/>
        <w:tabs>
          <w:tab w:val="left" w:pos="638"/>
        </w:tabs>
        <w:spacing w:before="206" w:line="288" w:lineRule="exact"/>
        <w:ind w:left="638" w:right="29" w:hanging="360"/>
        <w:jc w:val="both"/>
        <w:rPr>
          <w:rFonts w:ascii="Times New Roman" w:hAnsi="Times New Roman" w:cs="Times New Roman"/>
          <w:spacing w:val="-7"/>
          <w:sz w:val="22"/>
          <w:szCs w:val="22"/>
          <w:lang w:val="en-US"/>
        </w:rPr>
      </w:pPr>
      <w:r>
        <w:rPr>
          <w:rFonts w:ascii="Times New Roman" w:hAnsi="Times New Roman" w:cs="Times New Roman"/>
          <w:sz w:val="22"/>
          <w:szCs w:val="22"/>
          <w:lang w:val="en-US"/>
        </w:rPr>
        <w:t>To what extent there is a requirement or common practice among port authorities in your country to base their investment decisions on a business plan, i.e. an assessment of the expected profitability of the investment project relative to its costs over the lifetime of the investment.</w:t>
      </w:r>
    </w:p>
    <w:p w:rsidR="00860873" w:rsidRDefault="00860873" w:rsidP="00AD0178">
      <w:pPr>
        <w:numPr>
          <w:ilvl w:val="0"/>
          <w:numId w:val="5"/>
        </w:numPr>
        <w:shd w:val="clear" w:color="auto" w:fill="FFFFFF"/>
        <w:tabs>
          <w:tab w:val="left" w:pos="638"/>
        </w:tabs>
        <w:spacing w:before="197" w:line="293" w:lineRule="exact"/>
        <w:ind w:left="638" w:right="43" w:hanging="360"/>
        <w:jc w:val="both"/>
        <w:rPr>
          <w:rFonts w:ascii="Times New Roman" w:hAnsi="Times New Roman" w:cs="Times New Roman"/>
          <w:spacing w:val="-6"/>
          <w:sz w:val="22"/>
          <w:szCs w:val="22"/>
          <w:lang w:val="en-US"/>
        </w:rPr>
      </w:pPr>
      <w:r>
        <w:rPr>
          <w:rFonts w:ascii="Times New Roman" w:hAnsi="Times New Roman" w:cs="Times New Roman"/>
          <w:sz w:val="22"/>
          <w:szCs w:val="22"/>
          <w:lang w:val="en-US"/>
        </w:rPr>
        <w:t xml:space="preserve">Please indicate, for the different types of port infrastructure, the usual </w:t>
      </w:r>
      <w:proofErr w:type="spellStart"/>
      <w:r>
        <w:rPr>
          <w:rFonts w:ascii="Times New Roman" w:hAnsi="Times New Roman" w:cs="Times New Roman"/>
          <w:sz w:val="22"/>
          <w:szCs w:val="22"/>
          <w:lang w:val="en-US"/>
        </w:rPr>
        <w:t>amortisation</w:t>
      </w:r>
      <w:proofErr w:type="spellEnd"/>
      <w:r>
        <w:rPr>
          <w:rFonts w:ascii="Times New Roman" w:hAnsi="Times New Roman" w:cs="Times New Roman"/>
          <w:sz w:val="22"/>
          <w:szCs w:val="22"/>
          <w:lang w:val="en-US"/>
        </w:rPr>
        <w:t xml:space="preserve"> period and the required rate of return on the investment.</w:t>
      </w:r>
    </w:p>
    <w:p w:rsidR="00860873" w:rsidRDefault="00860873" w:rsidP="00AD0178">
      <w:pPr>
        <w:numPr>
          <w:ilvl w:val="0"/>
          <w:numId w:val="5"/>
        </w:numPr>
        <w:shd w:val="clear" w:color="auto" w:fill="FFFFFF"/>
        <w:tabs>
          <w:tab w:val="left" w:pos="638"/>
        </w:tabs>
        <w:spacing w:before="202" w:line="288" w:lineRule="exact"/>
        <w:ind w:left="638" w:right="38" w:hanging="360"/>
        <w:jc w:val="both"/>
        <w:rPr>
          <w:rFonts w:ascii="Times New Roman" w:hAnsi="Times New Roman" w:cs="Times New Roman"/>
          <w:spacing w:val="-8"/>
          <w:sz w:val="22"/>
          <w:szCs w:val="22"/>
          <w:lang w:val="en-US"/>
        </w:rPr>
      </w:pPr>
      <w:r>
        <w:rPr>
          <w:rFonts w:ascii="Times New Roman" w:hAnsi="Times New Roman" w:cs="Times New Roman"/>
          <w:sz w:val="22"/>
          <w:szCs w:val="22"/>
          <w:lang w:val="en-US"/>
        </w:rPr>
        <w:t>Do you consider that a discount rate of 5% is appropriate for calculating the funding gap of an infrastructure investment project?</w:t>
      </w:r>
      <w:r w:rsidR="00F77052">
        <w:rPr>
          <w:rStyle w:val="FootnoteReference"/>
          <w:rFonts w:ascii="Times New Roman" w:hAnsi="Times New Roman" w:cs="Times New Roman"/>
          <w:sz w:val="22"/>
          <w:szCs w:val="22"/>
          <w:lang w:val="en-US"/>
        </w:rPr>
        <w:footnoteReference w:id="5"/>
      </w:r>
      <w:r>
        <w:rPr>
          <w:rFonts w:ascii="Times New Roman" w:hAnsi="Times New Roman" w:cs="Times New Roman"/>
          <w:sz w:val="22"/>
          <w:szCs w:val="22"/>
          <w:lang w:val="en-US"/>
        </w:rPr>
        <w:t xml:space="preserve"> If not, how would you choose the discount rate for the purposes of calculating the funding gap for such investments, and why?</w:t>
      </w:r>
    </w:p>
    <w:p w:rsidR="00860873" w:rsidRPr="00FC3F62" w:rsidRDefault="00860873" w:rsidP="00F77052">
      <w:pPr>
        <w:numPr>
          <w:ilvl w:val="0"/>
          <w:numId w:val="5"/>
        </w:numPr>
        <w:shd w:val="clear" w:color="auto" w:fill="FFFFFF"/>
        <w:tabs>
          <w:tab w:val="left" w:pos="638"/>
        </w:tabs>
        <w:spacing w:before="206" w:line="288" w:lineRule="exact"/>
        <w:ind w:left="638" w:right="48" w:hanging="360"/>
        <w:jc w:val="both"/>
        <w:rPr>
          <w:rFonts w:ascii="Times New Roman" w:hAnsi="Times New Roman" w:cs="Times New Roman"/>
          <w:spacing w:val="-8"/>
          <w:sz w:val="22"/>
          <w:szCs w:val="22"/>
          <w:lang w:val="en-US"/>
        </w:rPr>
      </w:pPr>
      <w:r>
        <w:rPr>
          <w:rFonts w:ascii="Times New Roman" w:hAnsi="Times New Roman" w:cs="Times New Roman"/>
          <w:sz w:val="22"/>
          <w:szCs w:val="22"/>
          <w:lang w:val="en-US"/>
        </w:rPr>
        <w:t>Please explain to what extent the port infrastructure is substitutable between the different types of cargo (containers, bulk cargo, oil, etc.)</w:t>
      </w:r>
      <w:r w:rsidR="00FC3F62">
        <w:rPr>
          <w:rFonts w:ascii="Times New Roman" w:hAnsi="Times New Roman" w:cs="Times New Roman"/>
          <w:sz w:val="22"/>
          <w:szCs w:val="22"/>
          <w:lang w:val="en-US"/>
        </w:rPr>
        <w:t>.</w:t>
      </w:r>
    </w:p>
    <w:p w:rsidR="00FC3F62" w:rsidRPr="00F77052" w:rsidRDefault="00FC3F62" w:rsidP="00FC3F62">
      <w:pPr>
        <w:shd w:val="clear" w:color="auto" w:fill="FFFFFF"/>
        <w:tabs>
          <w:tab w:val="left" w:pos="638"/>
        </w:tabs>
        <w:spacing w:before="206" w:line="288" w:lineRule="exact"/>
        <w:ind w:left="638" w:right="48"/>
        <w:jc w:val="both"/>
        <w:rPr>
          <w:rFonts w:ascii="Times New Roman" w:hAnsi="Times New Roman" w:cs="Times New Roman"/>
          <w:spacing w:val="-8"/>
          <w:sz w:val="22"/>
          <w:szCs w:val="22"/>
          <w:lang w:val="en-US"/>
        </w:rPr>
      </w:pPr>
    </w:p>
    <w:p w:rsidR="00860873" w:rsidRPr="00997DD0" w:rsidRDefault="00860873">
      <w:pPr>
        <w:shd w:val="clear" w:color="auto" w:fill="FFFFFF"/>
        <w:ind w:left="38"/>
        <w:rPr>
          <w:b/>
          <w:u w:val="single"/>
        </w:rPr>
      </w:pPr>
      <w:r w:rsidRPr="00997DD0">
        <w:rPr>
          <w:rFonts w:ascii="Times New Roman" w:hAnsi="Times New Roman" w:cs="Times New Roman"/>
          <w:b/>
          <w:sz w:val="22"/>
          <w:szCs w:val="22"/>
          <w:u w:val="single"/>
          <w:lang w:val="en-US"/>
        </w:rPr>
        <w:t xml:space="preserve">C. </w:t>
      </w:r>
      <w:r w:rsidRPr="00997DD0">
        <w:rPr>
          <w:rFonts w:ascii="Times New Roman" w:hAnsi="Times New Roman" w:cs="Times New Roman"/>
          <w:b/>
          <w:bCs/>
          <w:sz w:val="22"/>
          <w:szCs w:val="22"/>
          <w:u w:val="single"/>
          <w:lang w:val="en-US"/>
        </w:rPr>
        <w:t xml:space="preserve">Operating </w:t>
      </w:r>
      <w:r w:rsidRPr="00997DD0">
        <w:rPr>
          <w:rFonts w:ascii="Times New Roman" w:hAnsi="Times New Roman" w:cs="Times New Roman"/>
          <w:b/>
          <w:sz w:val="22"/>
          <w:szCs w:val="22"/>
          <w:u w:val="single"/>
          <w:lang w:val="en-US"/>
        </w:rPr>
        <w:t>costs</w:t>
      </w:r>
    </w:p>
    <w:p w:rsidR="00860873" w:rsidRDefault="00860873" w:rsidP="00AD0178">
      <w:pPr>
        <w:numPr>
          <w:ilvl w:val="0"/>
          <w:numId w:val="6"/>
        </w:numPr>
        <w:shd w:val="clear" w:color="auto" w:fill="FFFFFF"/>
        <w:tabs>
          <w:tab w:val="left" w:pos="653"/>
        </w:tabs>
        <w:spacing w:before="202" w:line="288" w:lineRule="exact"/>
        <w:ind w:left="653" w:hanging="37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Are the revenues of port service providers in your country generally sufficient to cover their operating costs (including the cost of depreciation and their cost of finance (e.g. interest on debt)? Are the revenues of port service providers generally sufficient to cover operating costs excluding the cost of depreciation and the cost of finance? If not, please explain why and how </w:t>
      </w:r>
      <w:r>
        <w:rPr>
          <w:rFonts w:ascii="Times New Roman" w:hAnsi="Times New Roman" w:cs="Times New Roman"/>
          <w:spacing w:val="-1"/>
          <w:sz w:val="22"/>
          <w:szCs w:val="22"/>
          <w:lang w:val="en-US"/>
        </w:rPr>
        <w:t xml:space="preserve">they finance the continuation of their activity. In particular, please indicate if any port service </w:t>
      </w:r>
      <w:r>
        <w:rPr>
          <w:rFonts w:ascii="Times New Roman" w:hAnsi="Times New Roman" w:cs="Times New Roman"/>
          <w:sz w:val="22"/>
          <w:szCs w:val="22"/>
          <w:lang w:val="en-US"/>
        </w:rPr>
        <w:t>providers in your country receive public funding in order to cover their operating costs? If so, please list the cases and explain. If so, do port service providers typically operate under fixed funding (e.g. specifying the amount of public funding for a certain number of years) or under flexible budgets (e.g. where the public funding is increased in function of the losses incurred)?</w:t>
      </w:r>
    </w:p>
    <w:p w:rsidR="00860873" w:rsidRDefault="00860873" w:rsidP="00AD0178">
      <w:pPr>
        <w:numPr>
          <w:ilvl w:val="0"/>
          <w:numId w:val="6"/>
        </w:numPr>
        <w:shd w:val="clear" w:color="auto" w:fill="FFFFFF"/>
        <w:tabs>
          <w:tab w:val="left" w:pos="653"/>
        </w:tabs>
        <w:spacing w:before="197" w:line="288" w:lineRule="exact"/>
        <w:ind w:left="653" w:right="5" w:hanging="370"/>
        <w:jc w:val="both"/>
        <w:rPr>
          <w:rFonts w:ascii="Times New Roman" w:hAnsi="Times New Roman" w:cs="Times New Roman"/>
          <w:spacing w:val="-2"/>
          <w:sz w:val="22"/>
          <w:szCs w:val="22"/>
          <w:lang w:val="en-US"/>
        </w:rPr>
      </w:pPr>
      <w:r>
        <w:rPr>
          <w:rFonts w:ascii="Times New Roman" w:hAnsi="Times New Roman" w:cs="Times New Roman"/>
          <w:sz w:val="22"/>
          <w:szCs w:val="22"/>
          <w:lang w:val="en-US"/>
        </w:rPr>
        <w:t xml:space="preserve">Do you consider that there is any need to allow operating aid for port service providers on a </w:t>
      </w:r>
      <w:r>
        <w:rPr>
          <w:rFonts w:ascii="Times New Roman" w:hAnsi="Times New Roman" w:cs="Times New Roman"/>
          <w:spacing w:val="-1"/>
          <w:sz w:val="22"/>
          <w:szCs w:val="22"/>
          <w:lang w:val="en-US"/>
        </w:rPr>
        <w:t xml:space="preserve">limited and transitional basis, e.g. for a maximum duration of 10 years? If so, please explain for </w:t>
      </w:r>
      <w:r>
        <w:rPr>
          <w:rFonts w:ascii="Times New Roman" w:hAnsi="Times New Roman" w:cs="Times New Roman"/>
          <w:sz w:val="22"/>
          <w:szCs w:val="22"/>
          <w:lang w:val="en-US"/>
        </w:rPr>
        <w:t>what type of services.</w:t>
      </w:r>
    </w:p>
    <w:p w:rsidR="00860873" w:rsidRPr="00997DD0" w:rsidRDefault="00860873">
      <w:pPr>
        <w:shd w:val="clear" w:color="auto" w:fill="FFFFFF"/>
        <w:tabs>
          <w:tab w:val="left" w:pos="274"/>
        </w:tabs>
        <w:spacing w:before="235"/>
        <w:ind w:left="19"/>
        <w:rPr>
          <w:b/>
          <w:u w:val="single"/>
        </w:rPr>
      </w:pPr>
      <w:r w:rsidRPr="00997DD0">
        <w:rPr>
          <w:rFonts w:ascii="Times New Roman" w:hAnsi="Times New Roman" w:cs="Times New Roman"/>
          <w:b/>
          <w:spacing w:val="-12"/>
          <w:sz w:val="22"/>
          <w:szCs w:val="22"/>
          <w:u w:val="single"/>
          <w:lang w:val="en-US"/>
        </w:rPr>
        <w:lastRenderedPageBreak/>
        <w:t>D.</w:t>
      </w:r>
      <w:r w:rsidRPr="00997DD0">
        <w:rPr>
          <w:rFonts w:ascii="Times New Roman" w:hAnsi="Times New Roman" w:cs="Times New Roman"/>
          <w:b/>
          <w:sz w:val="22"/>
          <w:szCs w:val="22"/>
          <w:u w:val="single"/>
          <w:lang w:val="en-US"/>
        </w:rPr>
        <w:tab/>
      </w:r>
      <w:r w:rsidRPr="00997DD0">
        <w:rPr>
          <w:rFonts w:ascii="Times New Roman" w:hAnsi="Times New Roman" w:cs="Times New Roman"/>
          <w:b/>
          <w:bCs/>
          <w:sz w:val="22"/>
          <w:szCs w:val="22"/>
          <w:u w:val="single"/>
          <w:lang w:val="en-US"/>
        </w:rPr>
        <w:t>Services of general economic interest</w:t>
      </w:r>
    </w:p>
    <w:p w:rsidR="00860873" w:rsidRDefault="00860873">
      <w:pPr>
        <w:shd w:val="clear" w:color="auto" w:fill="FFFFFF"/>
        <w:tabs>
          <w:tab w:val="left" w:pos="653"/>
        </w:tabs>
        <w:spacing w:before="206" w:line="288" w:lineRule="exact"/>
        <w:ind w:left="653" w:right="10" w:hanging="370"/>
        <w:jc w:val="both"/>
        <w:rPr>
          <w:rFonts w:ascii="Times New Roman" w:hAnsi="Times New Roman" w:cs="Times New Roman"/>
          <w:sz w:val="22"/>
          <w:szCs w:val="22"/>
          <w:vertAlign w:val="superscript"/>
          <w:lang w:val="en-US"/>
        </w:rPr>
      </w:pPr>
      <w:r>
        <w:rPr>
          <w:rFonts w:ascii="Times New Roman" w:hAnsi="Times New Roman" w:cs="Times New Roman"/>
          <w:spacing w:val="-4"/>
          <w:sz w:val="22"/>
          <w:szCs w:val="22"/>
          <w:lang w:val="en-US"/>
        </w:rPr>
        <w:t>31.</w:t>
      </w:r>
      <w:r>
        <w:rPr>
          <w:rFonts w:ascii="Times New Roman" w:hAnsi="Times New Roman" w:cs="Times New Roman"/>
          <w:sz w:val="22"/>
          <w:szCs w:val="22"/>
          <w:lang w:val="en-US"/>
        </w:rPr>
        <w:tab/>
        <w:t xml:space="preserve">Please indicate if in your country there </w:t>
      </w:r>
      <w:proofErr w:type="gramStart"/>
      <w:r>
        <w:rPr>
          <w:rFonts w:ascii="Times New Roman" w:hAnsi="Times New Roman" w:cs="Times New Roman"/>
          <w:sz w:val="22"/>
          <w:szCs w:val="22"/>
          <w:lang w:val="en-US"/>
        </w:rPr>
        <w:t>are cases of public compensation being paid to port</w:t>
      </w:r>
      <w:r>
        <w:rPr>
          <w:rFonts w:ascii="Times New Roman" w:hAnsi="Times New Roman" w:cs="Times New Roman"/>
          <w:sz w:val="22"/>
          <w:szCs w:val="22"/>
          <w:lang w:val="en-US"/>
        </w:rPr>
        <w:br/>
        <w:t>managers</w:t>
      </w:r>
      <w:proofErr w:type="gramEnd"/>
      <w:r>
        <w:rPr>
          <w:rFonts w:ascii="Times New Roman" w:hAnsi="Times New Roman" w:cs="Times New Roman"/>
          <w:sz w:val="22"/>
          <w:szCs w:val="22"/>
          <w:lang w:val="en-US"/>
        </w:rPr>
        <w:t xml:space="preserve"> and/or to port service providers for services of general economic interest. If so</w:t>
      </w:r>
      <w:proofErr w:type="gramStart"/>
      <w:r>
        <w:rPr>
          <w:rFonts w:ascii="Times New Roman" w:hAnsi="Times New Roman" w:cs="Times New Roman"/>
          <w:sz w:val="22"/>
          <w:szCs w:val="22"/>
          <w:lang w:val="en-US"/>
        </w:rPr>
        <w:t>,</w:t>
      </w:r>
      <w:proofErr w:type="gramEnd"/>
      <w:r>
        <w:rPr>
          <w:rFonts w:ascii="Times New Roman" w:hAnsi="Times New Roman" w:cs="Times New Roman"/>
          <w:sz w:val="22"/>
          <w:szCs w:val="22"/>
          <w:lang w:val="en-US"/>
        </w:rPr>
        <w:br/>
      </w:r>
      <w:r>
        <w:rPr>
          <w:rFonts w:ascii="Times New Roman" w:hAnsi="Times New Roman" w:cs="Times New Roman"/>
          <w:spacing w:val="-1"/>
          <w:sz w:val="22"/>
          <w:szCs w:val="22"/>
          <w:lang w:val="en-US"/>
        </w:rPr>
        <w:t>please list the cases, and indicate if the compensation is provided on the basis of the 2005 SGEI</w:t>
      </w:r>
      <w:r>
        <w:rPr>
          <w:rFonts w:ascii="Times New Roman" w:hAnsi="Times New Roman" w:cs="Times New Roman"/>
          <w:spacing w:val="-1"/>
          <w:sz w:val="22"/>
          <w:szCs w:val="22"/>
          <w:lang w:val="en-US"/>
        </w:rPr>
        <w:br/>
      </w:r>
      <w:r>
        <w:rPr>
          <w:rFonts w:ascii="Times New Roman" w:hAnsi="Times New Roman" w:cs="Times New Roman"/>
          <w:sz w:val="22"/>
          <w:szCs w:val="22"/>
          <w:lang w:val="en-US"/>
        </w:rPr>
        <w:t>Decision</w:t>
      </w:r>
      <w:r w:rsidR="00FC0A45">
        <w:rPr>
          <w:rStyle w:val="FootnoteReference"/>
          <w:rFonts w:ascii="Times New Roman" w:hAnsi="Times New Roman" w:cs="Times New Roman"/>
          <w:sz w:val="22"/>
          <w:szCs w:val="22"/>
          <w:lang w:val="en-US"/>
        </w:rPr>
        <w:footnoteReference w:id="6"/>
      </w:r>
      <w:r>
        <w:rPr>
          <w:rFonts w:ascii="Times New Roman" w:hAnsi="Times New Roman" w:cs="Times New Roman"/>
          <w:sz w:val="22"/>
          <w:szCs w:val="22"/>
          <w:lang w:val="en-US"/>
        </w:rPr>
        <w:t xml:space="preserve"> or on the basis of the 2012 SGEI package.</w:t>
      </w:r>
      <w:r w:rsidR="00FC0A45">
        <w:rPr>
          <w:rStyle w:val="FootnoteReference"/>
          <w:rFonts w:ascii="Times New Roman" w:hAnsi="Times New Roman" w:cs="Times New Roman"/>
          <w:sz w:val="22"/>
          <w:szCs w:val="22"/>
          <w:lang w:val="en-US"/>
        </w:rPr>
        <w:footnoteReference w:id="7"/>
      </w:r>
    </w:p>
    <w:p w:rsidR="00997DD0" w:rsidRDefault="00997DD0">
      <w:pPr>
        <w:shd w:val="clear" w:color="auto" w:fill="FFFFFF"/>
        <w:tabs>
          <w:tab w:val="left" w:pos="653"/>
        </w:tabs>
        <w:spacing w:before="206" w:line="288" w:lineRule="exact"/>
        <w:ind w:left="653" w:right="10" w:hanging="370"/>
        <w:jc w:val="both"/>
      </w:pPr>
    </w:p>
    <w:p w:rsidR="00860873" w:rsidRPr="00997DD0" w:rsidRDefault="00860873">
      <w:pPr>
        <w:shd w:val="clear" w:color="auto" w:fill="FFFFFF"/>
        <w:tabs>
          <w:tab w:val="left" w:pos="274"/>
        </w:tabs>
        <w:spacing w:before="230"/>
        <w:ind w:left="19"/>
        <w:rPr>
          <w:b/>
          <w:u w:val="single"/>
        </w:rPr>
      </w:pPr>
      <w:r w:rsidRPr="00997DD0">
        <w:rPr>
          <w:rFonts w:ascii="Times New Roman" w:hAnsi="Times New Roman" w:cs="Times New Roman"/>
          <w:b/>
          <w:spacing w:val="-9"/>
          <w:sz w:val="22"/>
          <w:szCs w:val="22"/>
          <w:u w:val="single"/>
          <w:lang w:val="en-US"/>
        </w:rPr>
        <w:t>E.</w:t>
      </w:r>
      <w:r w:rsidRPr="00997DD0">
        <w:rPr>
          <w:rFonts w:ascii="Times New Roman" w:hAnsi="Times New Roman" w:cs="Times New Roman"/>
          <w:b/>
          <w:sz w:val="22"/>
          <w:szCs w:val="22"/>
          <w:u w:val="single"/>
          <w:lang w:val="en-US"/>
        </w:rPr>
        <w:tab/>
      </w:r>
      <w:r w:rsidRPr="00997DD0">
        <w:rPr>
          <w:rFonts w:ascii="Times New Roman" w:hAnsi="Times New Roman" w:cs="Times New Roman"/>
          <w:b/>
          <w:bCs/>
          <w:sz w:val="22"/>
          <w:szCs w:val="22"/>
          <w:u w:val="single"/>
          <w:lang w:val="en-US"/>
        </w:rPr>
        <w:t>Corporate taxation of ports</w:t>
      </w:r>
    </w:p>
    <w:p w:rsidR="00860873" w:rsidRDefault="00860873">
      <w:pPr>
        <w:shd w:val="clear" w:color="auto" w:fill="FFFFFF"/>
        <w:spacing w:before="235" w:line="254" w:lineRule="exact"/>
        <w:ind w:left="14"/>
      </w:pPr>
      <w:r>
        <w:rPr>
          <w:rFonts w:ascii="Times New Roman" w:hAnsi="Times New Roman" w:cs="Times New Roman"/>
          <w:i/>
          <w:iCs/>
          <w:sz w:val="22"/>
          <w:szCs w:val="22"/>
          <w:lang w:val="en-US"/>
        </w:rPr>
        <w:t>Overview of the corporate income taxation system applicable to the managing bodies of the port and to providers of port services (e.g. holders of terminal concession or lease contracts)</w:t>
      </w:r>
    </w:p>
    <w:p w:rsidR="00860873" w:rsidRDefault="00860873" w:rsidP="00AD0178">
      <w:pPr>
        <w:numPr>
          <w:ilvl w:val="0"/>
          <w:numId w:val="7"/>
        </w:numPr>
        <w:shd w:val="clear" w:color="auto" w:fill="FFFFFF"/>
        <w:tabs>
          <w:tab w:val="left" w:pos="653"/>
        </w:tabs>
        <w:spacing w:before="211" w:line="288" w:lineRule="exact"/>
        <w:ind w:left="653" w:right="10" w:hanging="370"/>
        <w:jc w:val="both"/>
        <w:rPr>
          <w:rFonts w:ascii="Times New Roman" w:hAnsi="Times New Roman" w:cs="Times New Roman"/>
          <w:spacing w:val="-4"/>
          <w:sz w:val="22"/>
          <w:szCs w:val="22"/>
          <w:lang w:val="en-US"/>
        </w:rPr>
      </w:pPr>
      <w:r>
        <w:rPr>
          <w:rFonts w:ascii="Times New Roman" w:hAnsi="Times New Roman" w:cs="Times New Roman"/>
          <w:sz w:val="22"/>
          <w:szCs w:val="22"/>
          <w:lang w:val="en-US"/>
        </w:rPr>
        <w:t>Please provide a comprehensive description of the corporate income tax regime in your Member State (including tax base, tax rate, taxable entities, main objective, etc.). Please provide a copy of the relevant laws, regulations, guidelines or implementing rules, or a link to the institutional website that provides direct access to the relevant documents.</w:t>
      </w:r>
    </w:p>
    <w:p w:rsidR="00860873" w:rsidRDefault="00860873" w:rsidP="00AD0178">
      <w:pPr>
        <w:numPr>
          <w:ilvl w:val="0"/>
          <w:numId w:val="7"/>
        </w:numPr>
        <w:shd w:val="clear" w:color="auto" w:fill="FFFFFF"/>
        <w:tabs>
          <w:tab w:val="left" w:pos="653"/>
        </w:tabs>
        <w:spacing w:before="197" w:line="288" w:lineRule="exact"/>
        <w:ind w:left="653" w:right="29" w:hanging="370"/>
        <w:jc w:val="both"/>
        <w:rPr>
          <w:rFonts w:ascii="Times New Roman" w:hAnsi="Times New Roman" w:cs="Times New Roman"/>
          <w:spacing w:val="-6"/>
          <w:sz w:val="22"/>
          <w:szCs w:val="22"/>
          <w:lang w:val="en-US"/>
        </w:rPr>
      </w:pPr>
      <w:r>
        <w:rPr>
          <w:rFonts w:ascii="Times New Roman" w:hAnsi="Times New Roman" w:cs="Times New Roman"/>
          <w:spacing w:val="-1"/>
          <w:sz w:val="22"/>
          <w:szCs w:val="22"/>
          <w:lang w:val="en-US"/>
        </w:rPr>
        <w:t xml:space="preserve">Are the managing bodies of the ports and the providers of port services in your Member State </w:t>
      </w:r>
      <w:r>
        <w:rPr>
          <w:rFonts w:ascii="Times New Roman" w:hAnsi="Times New Roman" w:cs="Times New Roman"/>
          <w:sz w:val="22"/>
          <w:szCs w:val="22"/>
          <w:lang w:val="en-US"/>
        </w:rPr>
        <w:t xml:space="preserve">subject to the general corporate income tax regime or is there a specific corporate tax regime </w:t>
      </w:r>
      <w:r>
        <w:rPr>
          <w:rFonts w:ascii="Times New Roman" w:hAnsi="Times New Roman" w:cs="Times New Roman"/>
          <w:spacing w:val="-1"/>
          <w:sz w:val="22"/>
          <w:szCs w:val="22"/>
          <w:lang w:val="en-US"/>
        </w:rPr>
        <w:t xml:space="preserve">for ports (either for all or for certain ports)? Please provide a comprehensive description of this </w:t>
      </w:r>
      <w:r>
        <w:rPr>
          <w:rFonts w:ascii="Times New Roman" w:hAnsi="Times New Roman" w:cs="Times New Roman"/>
          <w:sz w:val="22"/>
          <w:szCs w:val="22"/>
          <w:lang w:val="en-US"/>
        </w:rPr>
        <w:t>specific regime and provide a copy of the relevant supporting documents containing the corporate tax provisions applicable to ports.</w:t>
      </w:r>
    </w:p>
    <w:p w:rsidR="00860873" w:rsidRDefault="00860873" w:rsidP="00AD0178">
      <w:pPr>
        <w:numPr>
          <w:ilvl w:val="0"/>
          <w:numId w:val="7"/>
        </w:numPr>
        <w:shd w:val="clear" w:color="auto" w:fill="FFFFFF"/>
        <w:tabs>
          <w:tab w:val="left" w:pos="653"/>
        </w:tabs>
        <w:spacing w:before="192" w:line="298" w:lineRule="exact"/>
        <w:ind w:left="653" w:right="29" w:hanging="370"/>
        <w:jc w:val="both"/>
        <w:rPr>
          <w:rFonts w:ascii="Times New Roman" w:hAnsi="Times New Roman" w:cs="Times New Roman"/>
          <w:spacing w:val="-6"/>
          <w:sz w:val="22"/>
          <w:szCs w:val="22"/>
          <w:lang w:val="en-US"/>
        </w:rPr>
      </w:pPr>
      <w:r>
        <w:rPr>
          <w:rFonts w:ascii="Times New Roman" w:hAnsi="Times New Roman" w:cs="Times New Roman"/>
          <w:sz w:val="22"/>
          <w:szCs w:val="22"/>
          <w:lang w:val="en-US"/>
        </w:rPr>
        <w:t xml:space="preserve">In case that there is a specific corporate tax regime for ports, does it apply equally to all ports or are there differences in its application? If so, please specify which </w:t>
      </w:r>
      <w:proofErr w:type="gramStart"/>
      <w:r>
        <w:rPr>
          <w:rFonts w:ascii="Times New Roman" w:hAnsi="Times New Roman" w:cs="Times New Roman"/>
          <w:sz w:val="22"/>
          <w:szCs w:val="22"/>
          <w:lang w:val="en-US"/>
        </w:rPr>
        <w:t>are the differences</w:t>
      </w:r>
      <w:proofErr w:type="gramEnd"/>
      <w:r>
        <w:rPr>
          <w:rFonts w:ascii="Times New Roman" w:hAnsi="Times New Roman" w:cs="Times New Roman"/>
          <w:sz w:val="22"/>
          <w:szCs w:val="22"/>
          <w:lang w:val="en-US"/>
        </w:rPr>
        <w:t>.</w:t>
      </w:r>
    </w:p>
    <w:p w:rsidR="00860873" w:rsidRDefault="00860873">
      <w:pPr>
        <w:shd w:val="clear" w:color="auto" w:fill="FFFFFF"/>
        <w:tabs>
          <w:tab w:val="left" w:pos="634"/>
        </w:tabs>
        <w:spacing w:line="293" w:lineRule="exact"/>
        <w:ind w:left="634" w:hanging="355"/>
        <w:jc w:val="both"/>
      </w:pPr>
      <w:r>
        <w:rPr>
          <w:rFonts w:ascii="Times New Roman" w:hAnsi="Times New Roman" w:cs="Times New Roman"/>
          <w:spacing w:val="-8"/>
          <w:sz w:val="22"/>
          <w:szCs w:val="22"/>
          <w:lang w:val="en-US"/>
        </w:rPr>
        <w:t>35.</w:t>
      </w:r>
      <w:r>
        <w:rPr>
          <w:rFonts w:ascii="Times New Roman" w:hAnsi="Times New Roman" w:cs="Times New Roman"/>
          <w:sz w:val="22"/>
          <w:szCs w:val="22"/>
          <w:lang w:val="en-US"/>
        </w:rPr>
        <w:tab/>
        <w:t>In case there is a specific corporate tax regime for ports, please explain which authorities at</w:t>
      </w:r>
      <w:r>
        <w:rPr>
          <w:rFonts w:ascii="Times New Roman" w:hAnsi="Times New Roman" w:cs="Times New Roman"/>
          <w:sz w:val="22"/>
          <w:szCs w:val="22"/>
          <w:lang w:val="en-US"/>
        </w:rPr>
        <w:br/>
        <w:t>national, federal, regional or local level hold the competence on enacting the corporate tax</w:t>
      </w:r>
      <w:r>
        <w:rPr>
          <w:rFonts w:ascii="Times New Roman" w:hAnsi="Times New Roman" w:cs="Times New Roman"/>
          <w:sz w:val="22"/>
          <w:szCs w:val="22"/>
          <w:lang w:val="en-US"/>
        </w:rPr>
        <w:br/>
        <w:t>regime applicable to ports.</w:t>
      </w:r>
    </w:p>
    <w:p w:rsidR="00FC0A45" w:rsidRDefault="00FC0A45">
      <w:pPr>
        <w:shd w:val="clear" w:color="auto" w:fill="FFFFFF"/>
        <w:spacing w:before="221"/>
        <w:rPr>
          <w:rFonts w:ascii="Times New Roman" w:hAnsi="Times New Roman" w:cs="Times New Roman"/>
          <w:i/>
          <w:iCs/>
          <w:sz w:val="22"/>
          <w:szCs w:val="22"/>
          <w:lang w:val="en-US"/>
        </w:rPr>
      </w:pPr>
    </w:p>
    <w:p w:rsidR="00860873" w:rsidRDefault="00860873">
      <w:pPr>
        <w:shd w:val="clear" w:color="auto" w:fill="FFFFFF"/>
        <w:spacing w:before="221"/>
      </w:pPr>
      <w:r>
        <w:rPr>
          <w:rFonts w:ascii="Times New Roman" w:hAnsi="Times New Roman" w:cs="Times New Roman"/>
          <w:i/>
          <w:iCs/>
          <w:sz w:val="22"/>
          <w:szCs w:val="22"/>
          <w:lang w:val="en-US"/>
        </w:rPr>
        <w:t>Individual tax situation of a port</w:t>
      </w:r>
    </w:p>
    <w:p w:rsidR="00860873" w:rsidRDefault="00860873">
      <w:pPr>
        <w:shd w:val="clear" w:color="auto" w:fill="FFFFFF"/>
        <w:tabs>
          <w:tab w:val="left" w:pos="634"/>
        </w:tabs>
        <w:spacing w:before="197" w:line="298" w:lineRule="exact"/>
        <w:ind w:left="634" w:hanging="355"/>
        <w:jc w:val="both"/>
      </w:pPr>
      <w:r>
        <w:rPr>
          <w:rFonts w:ascii="Times New Roman" w:hAnsi="Times New Roman" w:cs="Times New Roman"/>
          <w:spacing w:val="-8"/>
          <w:sz w:val="22"/>
          <w:szCs w:val="22"/>
          <w:lang w:val="en-US"/>
        </w:rPr>
        <w:t>36.</w:t>
      </w:r>
      <w:r>
        <w:rPr>
          <w:rFonts w:ascii="Times New Roman" w:hAnsi="Times New Roman" w:cs="Times New Roman"/>
          <w:sz w:val="22"/>
          <w:szCs w:val="22"/>
          <w:lang w:val="en-US"/>
        </w:rPr>
        <w:tab/>
        <w:t>Corporate tax exemption applicable to managing bodies of ports and the providers of port</w:t>
      </w:r>
      <w:r>
        <w:rPr>
          <w:rFonts w:ascii="Times New Roman" w:hAnsi="Times New Roman" w:cs="Times New Roman"/>
          <w:sz w:val="22"/>
          <w:szCs w:val="22"/>
          <w:lang w:val="en-US"/>
        </w:rPr>
        <w:br/>
        <w:t>services</w:t>
      </w:r>
    </w:p>
    <w:p w:rsidR="00860873" w:rsidRDefault="00860873" w:rsidP="00AD0178">
      <w:pPr>
        <w:numPr>
          <w:ilvl w:val="0"/>
          <w:numId w:val="8"/>
        </w:numPr>
        <w:shd w:val="clear" w:color="auto" w:fill="FFFFFF"/>
        <w:tabs>
          <w:tab w:val="left" w:pos="1085"/>
        </w:tabs>
        <w:spacing w:before="202" w:line="259" w:lineRule="exact"/>
        <w:ind w:left="1085" w:right="5" w:hanging="355"/>
        <w:jc w:val="both"/>
        <w:rPr>
          <w:rFonts w:ascii="Times New Roman" w:hAnsi="Times New Roman" w:cs="Times New Roman"/>
          <w:spacing w:val="-9"/>
          <w:sz w:val="22"/>
          <w:szCs w:val="22"/>
          <w:lang w:val="en-US"/>
        </w:rPr>
      </w:pPr>
      <w:r>
        <w:rPr>
          <w:rFonts w:ascii="Times New Roman" w:hAnsi="Times New Roman" w:cs="Times New Roman"/>
          <w:sz w:val="22"/>
          <w:szCs w:val="22"/>
          <w:lang w:val="en-US"/>
        </w:rPr>
        <w:t>Do ports benefit from a total or partial corporate tax exemption? Please specify which ports benefit from the exemption.</w:t>
      </w:r>
    </w:p>
    <w:p w:rsidR="00860873" w:rsidRDefault="00860873" w:rsidP="00AD0178">
      <w:pPr>
        <w:numPr>
          <w:ilvl w:val="0"/>
          <w:numId w:val="8"/>
        </w:numPr>
        <w:shd w:val="clear" w:color="auto" w:fill="FFFFFF"/>
        <w:tabs>
          <w:tab w:val="left" w:pos="1085"/>
        </w:tabs>
        <w:spacing w:before="230" w:line="254" w:lineRule="exact"/>
        <w:ind w:left="1085" w:hanging="355"/>
        <w:jc w:val="both"/>
        <w:rPr>
          <w:rFonts w:ascii="Times New Roman" w:hAnsi="Times New Roman" w:cs="Times New Roman"/>
          <w:spacing w:val="-8"/>
          <w:sz w:val="22"/>
          <w:szCs w:val="22"/>
          <w:lang w:val="en-US"/>
        </w:rPr>
      </w:pPr>
      <w:r>
        <w:rPr>
          <w:rFonts w:ascii="Times New Roman" w:hAnsi="Times New Roman" w:cs="Times New Roman"/>
          <w:sz w:val="22"/>
          <w:szCs w:val="22"/>
          <w:lang w:val="en-US"/>
        </w:rPr>
        <w:t>If so, who is the beneficiary of the tax exemption? Is it the owner of the port or the operator of the port activities?</w:t>
      </w:r>
    </w:p>
    <w:p w:rsidR="00860873" w:rsidRDefault="00860873" w:rsidP="00AD0178">
      <w:pPr>
        <w:numPr>
          <w:ilvl w:val="0"/>
          <w:numId w:val="8"/>
        </w:numPr>
        <w:shd w:val="clear" w:color="auto" w:fill="FFFFFF"/>
        <w:tabs>
          <w:tab w:val="left" w:pos="1085"/>
        </w:tabs>
        <w:spacing w:before="240"/>
        <w:ind w:left="730"/>
        <w:rPr>
          <w:rFonts w:ascii="Times New Roman" w:hAnsi="Times New Roman" w:cs="Times New Roman"/>
          <w:spacing w:val="-10"/>
          <w:sz w:val="22"/>
          <w:szCs w:val="22"/>
          <w:lang w:val="en-US"/>
        </w:rPr>
      </w:pPr>
      <w:r>
        <w:rPr>
          <w:rFonts w:ascii="Times New Roman" w:hAnsi="Times New Roman" w:cs="Times New Roman"/>
          <w:sz w:val="22"/>
          <w:szCs w:val="22"/>
          <w:lang w:val="en-US"/>
        </w:rPr>
        <w:t>If so, since when is the corporate tax exemption in place?</w:t>
      </w:r>
    </w:p>
    <w:p w:rsidR="00860873" w:rsidRDefault="00860873" w:rsidP="00AD0178">
      <w:pPr>
        <w:numPr>
          <w:ilvl w:val="0"/>
          <w:numId w:val="8"/>
        </w:numPr>
        <w:shd w:val="clear" w:color="auto" w:fill="FFFFFF"/>
        <w:tabs>
          <w:tab w:val="left" w:pos="1085"/>
        </w:tabs>
        <w:spacing w:before="226" w:line="254" w:lineRule="exact"/>
        <w:ind w:left="1085" w:right="5" w:hanging="355"/>
        <w:jc w:val="both"/>
        <w:rPr>
          <w:rFonts w:ascii="Times New Roman" w:hAnsi="Times New Roman" w:cs="Times New Roman"/>
          <w:spacing w:val="-9"/>
          <w:sz w:val="22"/>
          <w:szCs w:val="22"/>
          <w:lang w:val="en-US"/>
        </w:rPr>
      </w:pPr>
      <w:r>
        <w:rPr>
          <w:rFonts w:ascii="Times New Roman" w:hAnsi="Times New Roman" w:cs="Times New Roman"/>
          <w:sz w:val="22"/>
          <w:szCs w:val="22"/>
          <w:lang w:val="en-US"/>
        </w:rPr>
        <w:t>Has the corporate tax exemption been subject to amendments since its entering into force? If so, please describe the amendmen</w:t>
      </w:r>
      <w:bookmarkStart w:id="0" w:name="_GoBack"/>
      <w:bookmarkEnd w:id="0"/>
      <w:r>
        <w:rPr>
          <w:rFonts w:ascii="Times New Roman" w:hAnsi="Times New Roman" w:cs="Times New Roman"/>
          <w:sz w:val="22"/>
          <w:szCs w:val="22"/>
          <w:lang w:val="en-US"/>
        </w:rPr>
        <w:t>ts, indicating since when they are in place?</w:t>
      </w:r>
    </w:p>
    <w:p w:rsidR="00860873" w:rsidRDefault="00860873">
      <w:pPr>
        <w:shd w:val="clear" w:color="auto" w:fill="FFFFFF"/>
        <w:tabs>
          <w:tab w:val="left" w:pos="634"/>
        </w:tabs>
        <w:spacing w:before="48" w:line="490" w:lineRule="exact"/>
        <w:ind w:left="278"/>
      </w:pPr>
      <w:r>
        <w:rPr>
          <w:rFonts w:ascii="Times New Roman" w:hAnsi="Times New Roman" w:cs="Times New Roman"/>
          <w:spacing w:val="-8"/>
          <w:sz w:val="22"/>
          <w:szCs w:val="22"/>
          <w:lang w:val="en-US"/>
        </w:rPr>
        <w:lastRenderedPageBreak/>
        <w:t>37.</w:t>
      </w:r>
      <w:r>
        <w:rPr>
          <w:rFonts w:ascii="Times New Roman" w:hAnsi="Times New Roman" w:cs="Times New Roman"/>
          <w:sz w:val="22"/>
          <w:szCs w:val="22"/>
          <w:lang w:val="en-US"/>
        </w:rPr>
        <w:tab/>
        <w:t>Tax rulings applicable to ports</w:t>
      </w:r>
    </w:p>
    <w:p w:rsidR="00860873" w:rsidRDefault="00860873" w:rsidP="00AD0178">
      <w:pPr>
        <w:numPr>
          <w:ilvl w:val="0"/>
          <w:numId w:val="9"/>
        </w:numPr>
        <w:shd w:val="clear" w:color="auto" w:fill="FFFFFF"/>
        <w:tabs>
          <w:tab w:val="left" w:pos="1080"/>
        </w:tabs>
        <w:spacing w:line="490" w:lineRule="exact"/>
        <w:ind w:left="725"/>
        <w:rPr>
          <w:rFonts w:ascii="Times New Roman" w:hAnsi="Times New Roman" w:cs="Times New Roman"/>
          <w:spacing w:val="-9"/>
          <w:sz w:val="22"/>
          <w:szCs w:val="22"/>
          <w:lang w:val="en-US"/>
        </w:rPr>
      </w:pPr>
      <w:r>
        <w:rPr>
          <w:rFonts w:ascii="Times New Roman" w:hAnsi="Times New Roman" w:cs="Times New Roman"/>
          <w:sz w:val="22"/>
          <w:szCs w:val="22"/>
          <w:lang w:val="en-US"/>
        </w:rPr>
        <w:t>Do tax rulings exist laying down the individual tax situation of a certain port?</w:t>
      </w:r>
    </w:p>
    <w:p w:rsidR="00860873" w:rsidRDefault="00860873" w:rsidP="00AD0178">
      <w:pPr>
        <w:numPr>
          <w:ilvl w:val="0"/>
          <w:numId w:val="9"/>
        </w:numPr>
        <w:shd w:val="clear" w:color="auto" w:fill="FFFFFF"/>
        <w:tabs>
          <w:tab w:val="left" w:pos="1080"/>
        </w:tabs>
        <w:spacing w:before="5" w:line="490" w:lineRule="exact"/>
        <w:ind w:left="725"/>
        <w:rPr>
          <w:rFonts w:ascii="Times New Roman" w:hAnsi="Times New Roman" w:cs="Times New Roman"/>
          <w:spacing w:val="-8"/>
          <w:sz w:val="22"/>
          <w:szCs w:val="22"/>
          <w:lang w:val="en-US"/>
        </w:rPr>
      </w:pPr>
      <w:r>
        <w:rPr>
          <w:rFonts w:ascii="Times New Roman" w:hAnsi="Times New Roman" w:cs="Times New Roman"/>
          <w:spacing w:val="-1"/>
          <w:sz w:val="22"/>
          <w:szCs w:val="22"/>
          <w:lang w:val="en-US"/>
        </w:rPr>
        <w:t>If so, for which ports?</w:t>
      </w:r>
    </w:p>
    <w:p w:rsidR="00860873" w:rsidRDefault="00860873" w:rsidP="00AD0178">
      <w:pPr>
        <w:numPr>
          <w:ilvl w:val="0"/>
          <w:numId w:val="9"/>
        </w:numPr>
        <w:shd w:val="clear" w:color="auto" w:fill="FFFFFF"/>
        <w:tabs>
          <w:tab w:val="left" w:pos="1080"/>
        </w:tabs>
        <w:spacing w:line="490" w:lineRule="exact"/>
        <w:ind w:left="725"/>
        <w:rPr>
          <w:rFonts w:ascii="Times New Roman" w:hAnsi="Times New Roman" w:cs="Times New Roman"/>
          <w:spacing w:val="-7"/>
          <w:sz w:val="22"/>
          <w:szCs w:val="22"/>
          <w:lang w:val="en-US"/>
        </w:rPr>
      </w:pPr>
      <w:r>
        <w:rPr>
          <w:rFonts w:ascii="Times New Roman" w:hAnsi="Times New Roman" w:cs="Times New Roman"/>
          <w:sz w:val="22"/>
          <w:szCs w:val="22"/>
          <w:lang w:val="en-US"/>
        </w:rPr>
        <w:t>Since when do the tax rulings apply?</w:t>
      </w:r>
    </w:p>
    <w:p w:rsidR="00860873" w:rsidRDefault="00860873" w:rsidP="00AD0178">
      <w:pPr>
        <w:numPr>
          <w:ilvl w:val="0"/>
          <w:numId w:val="9"/>
        </w:numPr>
        <w:shd w:val="clear" w:color="auto" w:fill="FFFFFF"/>
        <w:tabs>
          <w:tab w:val="left" w:pos="1080"/>
        </w:tabs>
        <w:spacing w:line="490" w:lineRule="exact"/>
        <w:ind w:left="725"/>
        <w:rPr>
          <w:rFonts w:ascii="Times New Roman" w:hAnsi="Times New Roman" w:cs="Times New Roman"/>
          <w:spacing w:val="-9"/>
          <w:sz w:val="22"/>
          <w:szCs w:val="22"/>
          <w:lang w:val="en-US"/>
        </w:rPr>
      </w:pPr>
      <w:r>
        <w:rPr>
          <w:rFonts w:ascii="Times New Roman" w:hAnsi="Times New Roman" w:cs="Times New Roman"/>
          <w:sz w:val="22"/>
          <w:szCs w:val="22"/>
          <w:lang w:val="en-US"/>
        </w:rPr>
        <w:t>Please provide a copy of the tax rulings.</w:t>
      </w:r>
    </w:p>
    <w:p w:rsidR="00860873" w:rsidRDefault="00860873">
      <w:pPr>
        <w:shd w:val="clear" w:color="auto" w:fill="FFFFFF"/>
        <w:tabs>
          <w:tab w:val="left" w:pos="634"/>
        </w:tabs>
        <w:spacing w:line="490" w:lineRule="exact"/>
        <w:ind w:left="278"/>
      </w:pPr>
      <w:r>
        <w:rPr>
          <w:rFonts w:ascii="Times New Roman" w:hAnsi="Times New Roman" w:cs="Times New Roman"/>
          <w:spacing w:val="-6"/>
          <w:sz w:val="22"/>
          <w:szCs w:val="22"/>
          <w:lang w:val="en-US"/>
        </w:rPr>
        <w:t>38.</w:t>
      </w:r>
      <w:r>
        <w:rPr>
          <w:rFonts w:ascii="Times New Roman" w:hAnsi="Times New Roman" w:cs="Times New Roman"/>
          <w:sz w:val="22"/>
          <w:szCs w:val="22"/>
          <w:lang w:val="en-US"/>
        </w:rPr>
        <w:tab/>
        <w:t>Corporate tax rate</w:t>
      </w:r>
    </w:p>
    <w:p w:rsidR="00860873" w:rsidRDefault="00860873" w:rsidP="00AD0178">
      <w:pPr>
        <w:numPr>
          <w:ilvl w:val="0"/>
          <w:numId w:val="10"/>
        </w:numPr>
        <w:shd w:val="clear" w:color="auto" w:fill="FFFFFF"/>
        <w:tabs>
          <w:tab w:val="left" w:pos="1075"/>
        </w:tabs>
        <w:spacing w:line="490" w:lineRule="exact"/>
        <w:ind w:left="720"/>
        <w:rPr>
          <w:rFonts w:ascii="Times New Roman" w:hAnsi="Times New Roman" w:cs="Times New Roman"/>
          <w:spacing w:val="-9"/>
          <w:sz w:val="22"/>
          <w:szCs w:val="22"/>
          <w:lang w:val="en-US"/>
        </w:rPr>
      </w:pPr>
      <w:r>
        <w:rPr>
          <w:rFonts w:ascii="Times New Roman" w:hAnsi="Times New Roman" w:cs="Times New Roman"/>
          <w:sz w:val="22"/>
          <w:szCs w:val="22"/>
          <w:lang w:val="en-US"/>
        </w:rPr>
        <w:t>What is the corporate income tax rate applicable to ports?</w:t>
      </w:r>
    </w:p>
    <w:p w:rsidR="00860873" w:rsidRDefault="00860873" w:rsidP="00AD0178">
      <w:pPr>
        <w:numPr>
          <w:ilvl w:val="0"/>
          <w:numId w:val="10"/>
        </w:numPr>
        <w:shd w:val="clear" w:color="auto" w:fill="FFFFFF"/>
        <w:tabs>
          <w:tab w:val="left" w:pos="1075"/>
        </w:tabs>
        <w:spacing w:before="192" w:line="250" w:lineRule="exact"/>
        <w:ind w:left="1075" w:right="5" w:hanging="355"/>
        <w:jc w:val="both"/>
        <w:rPr>
          <w:rFonts w:ascii="Times New Roman" w:hAnsi="Times New Roman" w:cs="Times New Roman"/>
          <w:spacing w:val="-8"/>
          <w:sz w:val="22"/>
          <w:szCs w:val="22"/>
          <w:lang w:val="en-US"/>
        </w:rPr>
      </w:pPr>
      <w:r>
        <w:rPr>
          <w:rFonts w:ascii="Times New Roman" w:hAnsi="Times New Roman" w:cs="Times New Roman"/>
          <w:sz w:val="22"/>
          <w:szCs w:val="22"/>
          <w:lang w:val="en-US"/>
        </w:rPr>
        <w:t>Can the applicable tax rate be reduced in specific circumstances? If so, please provide an example of a possible scenario where the tax reduction might be applied.</w:t>
      </w:r>
    </w:p>
    <w:p w:rsidR="00860873" w:rsidRDefault="00860873" w:rsidP="00AD0178">
      <w:pPr>
        <w:numPr>
          <w:ilvl w:val="0"/>
          <w:numId w:val="10"/>
        </w:numPr>
        <w:shd w:val="clear" w:color="auto" w:fill="FFFFFF"/>
        <w:tabs>
          <w:tab w:val="left" w:pos="1075"/>
        </w:tabs>
        <w:spacing w:before="240" w:line="250" w:lineRule="exact"/>
        <w:ind w:left="1075" w:right="10" w:hanging="355"/>
        <w:jc w:val="both"/>
        <w:rPr>
          <w:rFonts w:ascii="Times New Roman" w:hAnsi="Times New Roman" w:cs="Times New Roman"/>
          <w:spacing w:val="-7"/>
          <w:sz w:val="22"/>
          <w:szCs w:val="22"/>
          <w:lang w:val="en-US"/>
        </w:rPr>
      </w:pPr>
      <w:r>
        <w:rPr>
          <w:rFonts w:ascii="Times New Roman" w:hAnsi="Times New Roman" w:cs="Times New Roman"/>
          <w:sz w:val="22"/>
          <w:szCs w:val="22"/>
          <w:lang w:val="en-US"/>
        </w:rPr>
        <w:t>Can the effective tax rate vary in practice from the statutory tax rate due to other factors than those based on accounting requirements? If so, what is the estimated range of the effective tax rate?</w:t>
      </w:r>
    </w:p>
    <w:p w:rsidR="00860873" w:rsidRDefault="00860873">
      <w:pPr>
        <w:shd w:val="clear" w:color="auto" w:fill="FFFFFF"/>
        <w:tabs>
          <w:tab w:val="left" w:pos="634"/>
        </w:tabs>
        <w:spacing w:before="235"/>
        <w:ind w:left="278"/>
      </w:pPr>
      <w:r>
        <w:rPr>
          <w:rFonts w:ascii="Times New Roman" w:hAnsi="Times New Roman" w:cs="Times New Roman"/>
          <w:spacing w:val="-9"/>
          <w:sz w:val="22"/>
          <w:szCs w:val="22"/>
          <w:lang w:val="en-US"/>
        </w:rPr>
        <w:t>39.</w:t>
      </w:r>
      <w:r>
        <w:rPr>
          <w:rFonts w:ascii="Times New Roman" w:hAnsi="Times New Roman" w:cs="Times New Roman"/>
          <w:sz w:val="22"/>
          <w:szCs w:val="22"/>
          <w:lang w:val="en-US"/>
        </w:rPr>
        <w:tab/>
        <w:t>Other corporate tax reliefs</w:t>
      </w:r>
    </w:p>
    <w:p w:rsidR="00860873" w:rsidRDefault="00860873" w:rsidP="00AD0178">
      <w:pPr>
        <w:numPr>
          <w:ilvl w:val="0"/>
          <w:numId w:val="11"/>
        </w:numPr>
        <w:shd w:val="clear" w:color="auto" w:fill="FFFFFF"/>
        <w:tabs>
          <w:tab w:val="left" w:pos="1070"/>
        </w:tabs>
        <w:spacing w:before="235" w:line="254" w:lineRule="exact"/>
        <w:ind w:left="1070" w:right="19" w:hanging="350"/>
        <w:jc w:val="both"/>
        <w:rPr>
          <w:rFonts w:ascii="Times New Roman" w:hAnsi="Times New Roman" w:cs="Times New Roman"/>
          <w:spacing w:val="-10"/>
          <w:sz w:val="22"/>
          <w:szCs w:val="22"/>
          <w:lang w:val="en-US"/>
        </w:rPr>
      </w:pPr>
      <w:r>
        <w:rPr>
          <w:rFonts w:ascii="Times New Roman" w:hAnsi="Times New Roman" w:cs="Times New Roman"/>
          <w:sz w:val="22"/>
          <w:szCs w:val="22"/>
          <w:lang w:val="en-US"/>
        </w:rPr>
        <w:t>Are there any other corporate tax allowances such as bonuses, tax deductible expenses, etc. that are/can be granted to ports in your Member States?</w:t>
      </w:r>
    </w:p>
    <w:p w:rsidR="00860873" w:rsidRDefault="00860873" w:rsidP="00AD0178">
      <w:pPr>
        <w:numPr>
          <w:ilvl w:val="0"/>
          <w:numId w:val="11"/>
        </w:numPr>
        <w:shd w:val="clear" w:color="auto" w:fill="FFFFFF"/>
        <w:tabs>
          <w:tab w:val="left" w:pos="1070"/>
        </w:tabs>
        <w:spacing w:before="245" w:line="245" w:lineRule="exact"/>
        <w:ind w:left="1070" w:right="10" w:hanging="350"/>
        <w:jc w:val="both"/>
        <w:rPr>
          <w:rFonts w:ascii="Times New Roman" w:hAnsi="Times New Roman" w:cs="Times New Roman"/>
          <w:spacing w:val="-11"/>
          <w:sz w:val="22"/>
          <w:szCs w:val="22"/>
          <w:lang w:val="en-US"/>
        </w:rPr>
      </w:pPr>
      <w:r>
        <w:rPr>
          <w:rFonts w:ascii="Times New Roman" w:hAnsi="Times New Roman" w:cs="Times New Roman"/>
          <w:sz w:val="22"/>
          <w:szCs w:val="22"/>
          <w:lang w:val="en-US"/>
        </w:rPr>
        <w:t>Can the taxable base be reduced for corporate tax purposes specifically for ports in your Member State? Please provide an example how the taxable base is calculated.</w:t>
      </w:r>
    </w:p>
    <w:p w:rsidR="00860873" w:rsidRDefault="00860873">
      <w:pPr>
        <w:shd w:val="clear" w:color="auto" w:fill="FFFFFF"/>
        <w:tabs>
          <w:tab w:val="left" w:pos="634"/>
        </w:tabs>
        <w:spacing w:before="235"/>
        <w:ind w:left="278"/>
      </w:pPr>
      <w:r>
        <w:rPr>
          <w:rFonts w:ascii="Times New Roman" w:hAnsi="Times New Roman" w:cs="Times New Roman"/>
          <w:spacing w:val="-9"/>
          <w:sz w:val="22"/>
          <w:szCs w:val="22"/>
          <w:lang w:val="en-US"/>
        </w:rPr>
        <w:t>40.</w:t>
      </w:r>
      <w:r>
        <w:rPr>
          <w:rFonts w:ascii="Times New Roman" w:hAnsi="Times New Roman" w:cs="Times New Roman"/>
          <w:sz w:val="22"/>
          <w:szCs w:val="22"/>
          <w:lang w:val="en-US"/>
        </w:rPr>
        <w:tab/>
      </w:r>
      <w:r>
        <w:rPr>
          <w:rFonts w:ascii="Times New Roman" w:hAnsi="Times New Roman" w:cs="Times New Roman"/>
          <w:spacing w:val="-1"/>
          <w:sz w:val="22"/>
          <w:szCs w:val="22"/>
          <w:lang w:val="en-US"/>
        </w:rPr>
        <w:t>Justifications</w:t>
      </w:r>
    </w:p>
    <w:p w:rsidR="00860873" w:rsidRDefault="00860873">
      <w:pPr>
        <w:shd w:val="clear" w:color="auto" w:fill="FFFFFF"/>
        <w:spacing w:before="240" w:line="250" w:lineRule="exact"/>
        <w:ind w:left="1075" w:right="14" w:hanging="360"/>
        <w:jc w:val="both"/>
      </w:pPr>
      <w:r>
        <w:rPr>
          <w:rFonts w:ascii="Times New Roman" w:hAnsi="Times New Roman" w:cs="Times New Roman"/>
          <w:sz w:val="22"/>
          <w:szCs w:val="22"/>
          <w:lang w:val="en-US"/>
        </w:rPr>
        <w:t xml:space="preserve">a) If there </w:t>
      </w:r>
      <w:proofErr w:type="gramStart"/>
      <w:r>
        <w:rPr>
          <w:rFonts w:ascii="Times New Roman" w:hAnsi="Times New Roman" w:cs="Times New Roman"/>
          <w:sz w:val="22"/>
          <w:szCs w:val="22"/>
          <w:lang w:val="en-US"/>
        </w:rPr>
        <w:t>are any corporate tax</w:t>
      </w:r>
      <w:proofErr w:type="gramEnd"/>
      <w:r>
        <w:rPr>
          <w:rFonts w:ascii="Times New Roman" w:hAnsi="Times New Roman" w:cs="Times New Roman"/>
          <w:sz w:val="22"/>
          <w:szCs w:val="22"/>
          <w:lang w:val="en-US"/>
        </w:rPr>
        <w:t xml:space="preserve"> advantages for ports please explain what you consider to be the main justification for such advantages.</w:t>
      </w:r>
    </w:p>
    <w:p w:rsidR="00AD0178" w:rsidRDefault="00AD0178">
      <w:pPr>
        <w:shd w:val="clear" w:color="auto" w:fill="FFFFFF"/>
        <w:spacing w:before="475"/>
        <w:ind w:right="29"/>
        <w:jc w:val="center"/>
      </w:pPr>
    </w:p>
    <w:sectPr w:rsidR="00AD0178">
      <w:footerReference w:type="default" r:id="rId9"/>
      <w:pgSz w:w="11909" w:h="16834"/>
      <w:pgMar w:top="1435" w:right="1413" w:bottom="360" w:left="140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73" w:rsidRDefault="00860873" w:rsidP="001E764E">
      <w:r>
        <w:separator/>
      </w:r>
    </w:p>
  </w:endnote>
  <w:endnote w:type="continuationSeparator" w:id="0">
    <w:p w:rsidR="00860873" w:rsidRDefault="00860873" w:rsidP="001E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691311"/>
      <w:docPartObj>
        <w:docPartGallery w:val="Page Numbers (Bottom of Page)"/>
        <w:docPartUnique/>
      </w:docPartObj>
    </w:sdtPr>
    <w:sdtEndPr>
      <w:rPr>
        <w:rFonts w:ascii="Times New Roman" w:hAnsi="Times New Roman" w:cs="Times New Roman"/>
        <w:noProof/>
      </w:rPr>
    </w:sdtEndPr>
    <w:sdtContent>
      <w:p w:rsidR="007F319F" w:rsidRPr="007F319F" w:rsidRDefault="007F319F">
        <w:pPr>
          <w:pStyle w:val="Footer"/>
          <w:jc w:val="right"/>
          <w:rPr>
            <w:rFonts w:ascii="Times New Roman" w:hAnsi="Times New Roman" w:cs="Times New Roman"/>
          </w:rPr>
        </w:pPr>
        <w:r w:rsidRPr="007F319F">
          <w:rPr>
            <w:rFonts w:ascii="Times New Roman" w:hAnsi="Times New Roman" w:cs="Times New Roman"/>
          </w:rPr>
          <w:fldChar w:fldCharType="begin"/>
        </w:r>
        <w:r w:rsidRPr="007F319F">
          <w:rPr>
            <w:rFonts w:ascii="Times New Roman" w:hAnsi="Times New Roman" w:cs="Times New Roman"/>
          </w:rPr>
          <w:instrText xml:space="preserve"> PAGE   \* MERGEFORMAT </w:instrText>
        </w:r>
        <w:r w:rsidRPr="007F319F">
          <w:rPr>
            <w:rFonts w:ascii="Times New Roman" w:hAnsi="Times New Roman" w:cs="Times New Roman"/>
          </w:rPr>
          <w:fldChar w:fldCharType="separate"/>
        </w:r>
        <w:r w:rsidR="004155B4">
          <w:rPr>
            <w:rFonts w:ascii="Times New Roman" w:hAnsi="Times New Roman" w:cs="Times New Roman"/>
            <w:noProof/>
          </w:rPr>
          <w:t>4</w:t>
        </w:r>
        <w:r w:rsidRPr="007F319F">
          <w:rPr>
            <w:rFonts w:ascii="Times New Roman" w:hAnsi="Times New Roman" w:cs="Times New Roman"/>
            <w:noProof/>
          </w:rPr>
          <w:fldChar w:fldCharType="end"/>
        </w:r>
      </w:p>
    </w:sdtContent>
  </w:sdt>
  <w:p w:rsidR="007F319F" w:rsidRDefault="007F3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73" w:rsidRDefault="00860873" w:rsidP="001E764E">
      <w:r>
        <w:separator/>
      </w:r>
    </w:p>
  </w:footnote>
  <w:footnote w:type="continuationSeparator" w:id="0">
    <w:p w:rsidR="00860873" w:rsidRDefault="00860873" w:rsidP="001E764E">
      <w:r>
        <w:continuationSeparator/>
      </w:r>
    </w:p>
  </w:footnote>
  <w:footnote w:id="1">
    <w:p w:rsidR="00860873" w:rsidRPr="00BF354B" w:rsidRDefault="00860873" w:rsidP="00BF354B">
      <w:pPr>
        <w:pStyle w:val="FootnoteText"/>
        <w:spacing w:after="120"/>
        <w:jc w:val="both"/>
        <w:rPr>
          <w:rFonts w:ascii="Times New Roman" w:hAnsi="Times New Roman" w:cs="Times New Roman"/>
          <w:lang w:val="en-US"/>
        </w:rPr>
      </w:pPr>
      <w:r w:rsidRPr="00BF354B">
        <w:rPr>
          <w:rStyle w:val="FootnoteReference"/>
          <w:rFonts w:ascii="Times New Roman" w:hAnsi="Times New Roman" w:cs="Times New Roman"/>
        </w:rPr>
        <w:footnoteRef/>
      </w:r>
      <w:r w:rsidRPr="00BF354B">
        <w:rPr>
          <w:rFonts w:ascii="Times New Roman" w:hAnsi="Times New Roman" w:cs="Times New Roman"/>
        </w:rPr>
        <w:t xml:space="preserve"> </w:t>
      </w:r>
      <w:r w:rsidRPr="00BF354B">
        <w:rPr>
          <w:rFonts w:ascii="Times New Roman" w:hAnsi="Times New Roman" w:cs="Times New Roman"/>
          <w:spacing w:val="-9"/>
          <w:lang w:val="en-US"/>
        </w:rPr>
        <w:t>"Managing body of the port" means any public or private body which, whether or not in conjunction with other</w:t>
      </w:r>
      <w:r>
        <w:rPr>
          <w:rFonts w:ascii="Times New Roman" w:hAnsi="Times New Roman" w:cs="Times New Roman"/>
          <w:spacing w:val="-9"/>
          <w:lang w:val="en-US"/>
        </w:rPr>
        <w:t xml:space="preserve"> </w:t>
      </w:r>
      <w:r w:rsidRPr="00BF354B">
        <w:rPr>
          <w:rFonts w:ascii="Times New Roman" w:hAnsi="Times New Roman" w:cs="Times New Roman"/>
          <w:spacing w:val="-8"/>
          <w:lang w:val="en-US"/>
        </w:rPr>
        <w:t>activities, has as its objective under national law or instruments the administration and management of the port</w:t>
      </w:r>
      <w:r>
        <w:rPr>
          <w:rFonts w:ascii="Times New Roman" w:hAnsi="Times New Roman" w:cs="Times New Roman"/>
          <w:spacing w:val="-8"/>
          <w:lang w:val="en-US"/>
        </w:rPr>
        <w:t xml:space="preserve"> </w:t>
      </w:r>
      <w:r w:rsidRPr="00BF354B">
        <w:rPr>
          <w:rFonts w:ascii="Times New Roman" w:hAnsi="Times New Roman" w:cs="Times New Roman"/>
          <w:spacing w:val="-8"/>
          <w:lang w:val="en-US"/>
        </w:rPr>
        <w:t>infrastructures, port traffic, the coordination and, where appropriate, the control of the activities of the operators</w:t>
      </w:r>
      <w:r>
        <w:rPr>
          <w:rFonts w:ascii="Times New Roman" w:hAnsi="Times New Roman" w:cs="Times New Roman"/>
          <w:spacing w:val="-8"/>
          <w:lang w:val="en-US"/>
        </w:rPr>
        <w:t xml:space="preserve"> </w:t>
      </w:r>
      <w:r w:rsidRPr="00BF354B">
        <w:rPr>
          <w:rFonts w:ascii="Times New Roman" w:hAnsi="Times New Roman" w:cs="Times New Roman"/>
          <w:spacing w:val="-7"/>
          <w:lang w:val="en-US"/>
        </w:rPr>
        <w:t>present in the port concerned (definition in the Commission Proposal for a Regulation on the market access of</w:t>
      </w:r>
      <w:r>
        <w:rPr>
          <w:rFonts w:ascii="Times New Roman" w:hAnsi="Times New Roman" w:cs="Times New Roman"/>
          <w:spacing w:val="-7"/>
          <w:lang w:val="en-US"/>
        </w:rPr>
        <w:t xml:space="preserve"> </w:t>
      </w:r>
      <w:r w:rsidRPr="00BF354B">
        <w:rPr>
          <w:rFonts w:ascii="Times New Roman" w:hAnsi="Times New Roman" w:cs="Times New Roman"/>
          <w:lang w:val="en-US"/>
        </w:rPr>
        <w:t>port services and the financial transparency of ports - see ftn.5 above).</w:t>
      </w:r>
    </w:p>
  </w:footnote>
  <w:footnote w:id="2">
    <w:p w:rsidR="00860873" w:rsidRPr="00BF354B" w:rsidRDefault="00860873" w:rsidP="00BF354B">
      <w:pPr>
        <w:pStyle w:val="FootnoteText"/>
        <w:spacing w:after="120"/>
        <w:jc w:val="both"/>
        <w:rPr>
          <w:rFonts w:ascii="Times New Roman" w:hAnsi="Times New Roman" w:cs="Times New Roman"/>
          <w:lang w:val="en-US"/>
        </w:rPr>
      </w:pPr>
      <w:r w:rsidRPr="00BF354B">
        <w:rPr>
          <w:rStyle w:val="FootnoteReference"/>
          <w:rFonts w:ascii="Times New Roman" w:hAnsi="Times New Roman" w:cs="Times New Roman"/>
        </w:rPr>
        <w:footnoteRef/>
      </w:r>
      <w:r w:rsidRPr="00BF354B">
        <w:rPr>
          <w:rFonts w:ascii="Times New Roman" w:hAnsi="Times New Roman" w:cs="Times New Roman"/>
        </w:rPr>
        <w:t xml:space="preserve"> </w:t>
      </w:r>
      <w:r w:rsidRPr="00BF354B">
        <w:rPr>
          <w:rFonts w:ascii="Times New Roman" w:hAnsi="Times New Roman" w:cs="Times New Roman"/>
          <w:spacing w:val="-9"/>
          <w:lang w:val="en-US"/>
        </w:rPr>
        <w:t>Typical port services include bunkering, cargo handling, dredging, mooring, passenger services, port reception</w:t>
      </w:r>
      <w:r>
        <w:rPr>
          <w:rFonts w:ascii="Times New Roman" w:hAnsi="Times New Roman" w:cs="Times New Roman"/>
          <w:spacing w:val="-9"/>
          <w:lang w:val="en-US"/>
        </w:rPr>
        <w:t xml:space="preserve"> </w:t>
      </w:r>
      <w:r w:rsidRPr="00BF354B">
        <w:rPr>
          <w:rFonts w:ascii="Times New Roman" w:hAnsi="Times New Roman" w:cs="Times New Roman"/>
          <w:lang w:val="en-US"/>
        </w:rPr>
        <w:t>facilities, pilotage and towage.</w:t>
      </w:r>
    </w:p>
  </w:footnote>
  <w:footnote w:id="3">
    <w:p w:rsidR="00860873" w:rsidRPr="00BF354B" w:rsidRDefault="00860873" w:rsidP="00BF354B">
      <w:pPr>
        <w:pStyle w:val="FootnoteText"/>
        <w:spacing w:after="120"/>
        <w:jc w:val="both"/>
        <w:rPr>
          <w:rFonts w:ascii="Times New Roman" w:hAnsi="Times New Roman" w:cs="Times New Roman"/>
          <w:sz w:val="24"/>
          <w:szCs w:val="24"/>
          <w:lang w:val="en-US"/>
        </w:rPr>
      </w:pPr>
      <w:r w:rsidRPr="00BF354B">
        <w:rPr>
          <w:rStyle w:val="FootnoteReference"/>
          <w:rFonts w:ascii="Times New Roman" w:hAnsi="Times New Roman" w:cs="Times New Roman"/>
        </w:rPr>
        <w:footnoteRef/>
      </w:r>
      <w:r w:rsidRPr="00BF354B">
        <w:rPr>
          <w:rFonts w:ascii="Times New Roman" w:hAnsi="Times New Roman" w:cs="Times New Roman"/>
        </w:rPr>
        <w:t xml:space="preserve"> </w:t>
      </w:r>
      <w:r w:rsidRPr="00BF354B">
        <w:rPr>
          <w:rFonts w:ascii="Times New Roman" w:hAnsi="Times New Roman" w:cs="Times New Roman"/>
          <w:spacing w:val="-9"/>
          <w:lang w:val="en-US"/>
        </w:rPr>
        <w:t>"Port infrastructure charge" means a fee collected for the direct or indirect benefit of the managing body of the</w:t>
      </w:r>
      <w:r>
        <w:rPr>
          <w:rFonts w:ascii="Times New Roman" w:hAnsi="Times New Roman" w:cs="Times New Roman"/>
          <w:spacing w:val="-9"/>
          <w:lang w:val="en-US"/>
        </w:rPr>
        <w:t xml:space="preserve"> </w:t>
      </w:r>
      <w:r w:rsidRPr="00BF354B">
        <w:rPr>
          <w:rFonts w:ascii="Times New Roman" w:hAnsi="Times New Roman" w:cs="Times New Roman"/>
          <w:spacing w:val="-8"/>
          <w:lang w:val="en-US"/>
        </w:rPr>
        <w:t>port and paid by the operators of waterborne vessels or cargo owners for the use of facilities and services that</w:t>
      </w:r>
      <w:r>
        <w:rPr>
          <w:rFonts w:ascii="Times New Roman" w:hAnsi="Times New Roman" w:cs="Times New Roman"/>
          <w:spacing w:val="-8"/>
          <w:lang w:val="en-US"/>
        </w:rPr>
        <w:t xml:space="preserve"> </w:t>
      </w:r>
      <w:r w:rsidRPr="00BF354B">
        <w:rPr>
          <w:rFonts w:ascii="Times New Roman" w:hAnsi="Times New Roman" w:cs="Times New Roman"/>
          <w:spacing w:val="-8"/>
          <w:lang w:val="en-US"/>
        </w:rPr>
        <w:t>allow vessels entry and exit in and out of the port, including the waterways giving access to those ports, as well</w:t>
      </w:r>
      <w:r>
        <w:rPr>
          <w:rFonts w:ascii="Times New Roman" w:hAnsi="Times New Roman" w:cs="Times New Roman"/>
          <w:spacing w:val="-8"/>
          <w:lang w:val="en-US"/>
        </w:rPr>
        <w:t xml:space="preserve"> </w:t>
      </w:r>
      <w:r w:rsidRPr="00BF354B">
        <w:rPr>
          <w:rFonts w:ascii="Times New Roman" w:hAnsi="Times New Roman" w:cs="Times New Roman"/>
          <w:spacing w:val="-8"/>
          <w:lang w:val="en-US"/>
        </w:rPr>
        <w:t>as access to the processing of passengers and cargo. Handling charges levied by terminal operators are not</w:t>
      </w:r>
      <w:r>
        <w:rPr>
          <w:rFonts w:ascii="Times New Roman" w:hAnsi="Times New Roman" w:cs="Times New Roman"/>
          <w:spacing w:val="-8"/>
          <w:lang w:val="en-US"/>
        </w:rPr>
        <w:t xml:space="preserve"> </w:t>
      </w:r>
      <w:r w:rsidRPr="00BF354B">
        <w:rPr>
          <w:rFonts w:ascii="Times New Roman" w:hAnsi="Times New Roman" w:cs="Times New Roman"/>
          <w:lang w:val="en-US"/>
        </w:rPr>
        <w:t>considered port infrastructure charges.</w:t>
      </w:r>
    </w:p>
  </w:footnote>
  <w:footnote w:id="4">
    <w:p w:rsidR="00860873" w:rsidRDefault="00860873">
      <w:pPr>
        <w:pStyle w:val="FootnoteText"/>
        <w:rPr>
          <w:rFonts w:ascii="Times New Roman" w:hAnsi="Times New Roman" w:cs="Times New Roman"/>
          <w:lang w:val="en-US"/>
        </w:rPr>
      </w:pPr>
      <w:r w:rsidRPr="00B11896">
        <w:rPr>
          <w:rStyle w:val="FootnoteReference"/>
          <w:rFonts w:ascii="Times New Roman" w:hAnsi="Times New Roman" w:cs="Times New Roman"/>
        </w:rPr>
        <w:footnoteRef/>
      </w:r>
      <w:r w:rsidRPr="00B11896">
        <w:rPr>
          <w:rFonts w:ascii="Times New Roman" w:hAnsi="Times New Roman" w:cs="Times New Roman"/>
        </w:rPr>
        <w:t xml:space="preserve"> </w:t>
      </w:r>
      <w:r w:rsidRPr="00B11896">
        <w:rPr>
          <w:rFonts w:ascii="Times New Roman" w:hAnsi="Times New Roman" w:cs="Times New Roman"/>
          <w:lang w:val="en-US"/>
        </w:rPr>
        <w:t>See the text of the draft Aviation Guidelines, available at</w:t>
      </w:r>
      <w:r>
        <w:rPr>
          <w:rFonts w:ascii="Times New Roman" w:hAnsi="Times New Roman" w:cs="Times New Roman"/>
          <w:lang w:val="en-US"/>
        </w:rPr>
        <w:t>:</w:t>
      </w:r>
    </w:p>
    <w:p w:rsidR="00860873" w:rsidRPr="00B11896" w:rsidRDefault="00860873">
      <w:pPr>
        <w:pStyle w:val="FootnoteText"/>
        <w:rPr>
          <w:rFonts w:ascii="Times New Roman" w:hAnsi="Times New Roman" w:cs="Times New Roman"/>
          <w:lang w:val="en-US"/>
        </w:rPr>
      </w:pPr>
      <w:hyperlink r:id="rId1" w:history="1">
        <w:proofErr w:type="gramStart"/>
        <w:r w:rsidRPr="00B11896">
          <w:rPr>
            <w:rFonts w:ascii="Times New Roman" w:hAnsi="Times New Roman" w:cs="Times New Roman"/>
            <w:u w:val="single"/>
            <w:lang w:val="en-US"/>
          </w:rPr>
          <w:t>http://ec.europa.eu/competition/consultations/2013</w:t>
        </w:r>
      </w:hyperlink>
      <w:r w:rsidRPr="00B11896">
        <w:rPr>
          <w:rFonts w:ascii="Times New Roman" w:hAnsi="Times New Roman" w:cs="Times New Roman"/>
          <w:u w:val="single"/>
          <w:lang w:val="en-US"/>
        </w:rPr>
        <w:t xml:space="preserve"> aviation guidelines/aviation guidelines en.pdf</w:t>
      </w:r>
      <w:r w:rsidRPr="00B11896">
        <w:rPr>
          <w:rFonts w:ascii="Times New Roman" w:hAnsi="Times New Roman" w:cs="Times New Roman"/>
          <w:lang w:val="en-US"/>
        </w:rPr>
        <w:t>.</w:t>
      </w:r>
      <w:proofErr w:type="gramEnd"/>
    </w:p>
  </w:footnote>
  <w:footnote w:id="5">
    <w:p w:rsidR="00F77052" w:rsidRPr="00F77052" w:rsidRDefault="00F77052" w:rsidP="00F77052">
      <w:pPr>
        <w:pStyle w:val="FootnoteText"/>
        <w:jc w:val="both"/>
        <w:rPr>
          <w:rFonts w:ascii="Times New Roman" w:hAnsi="Times New Roman" w:cs="Times New Roman"/>
          <w:lang w:val="en-US"/>
        </w:rPr>
      </w:pPr>
      <w:r w:rsidRPr="00F77052">
        <w:rPr>
          <w:rStyle w:val="FootnoteReference"/>
          <w:rFonts w:ascii="Times New Roman" w:hAnsi="Times New Roman" w:cs="Times New Roman"/>
        </w:rPr>
        <w:footnoteRef/>
      </w:r>
      <w:r w:rsidRPr="00F77052">
        <w:rPr>
          <w:rFonts w:ascii="Times New Roman" w:hAnsi="Times New Roman" w:cs="Times New Roman"/>
        </w:rPr>
        <w:t xml:space="preserve"> </w:t>
      </w:r>
      <w:r w:rsidRPr="00F77052">
        <w:rPr>
          <w:rFonts w:ascii="Times New Roman" w:hAnsi="Times New Roman" w:cs="Times New Roman"/>
          <w:spacing w:val="-5"/>
          <w:lang w:val="en-US"/>
        </w:rPr>
        <w:t xml:space="preserve">The 'funding gap' is defined as the difference between the discounted eligible investment costs and the </w:t>
      </w:r>
      <w:r w:rsidRPr="00F77052">
        <w:rPr>
          <w:rFonts w:ascii="Times New Roman" w:hAnsi="Times New Roman" w:cs="Times New Roman"/>
          <w:spacing w:val="-8"/>
          <w:lang w:val="en-US"/>
        </w:rPr>
        <w:t xml:space="preserve">discounted revenues to be obtained by the owner of the infrastructure from the commercial exploitation of the </w:t>
      </w:r>
      <w:r w:rsidRPr="00F77052">
        <w:rPr>
          <w:rFonts w:ascii="Times New Roman" w:hAnsi="Times New Roman" w:cs="Times New Roman"/>
          <w:lang w:val="en-US"/>
        </w:rPr>
        <w:t>infrastructure over a reference period of 25 years.</w:t>
      </w:r>
    </w:p>
  </w:footnote>
  <w:footnote w:id="6">
    <w:p w:rsidR="00FC0A45" w:rsidRPr="00A53AB4" w:rsidRDefault="00FC0A45" w:rsidP="004155B4">
      <w:pPr>
        <w:pStyle w:val="FootnoteText"/>
        <w:spacing w:before="120"/>
        <w:jc w:val="both"/>
        <w:rPr>
          <w:rFonts w:ascii="Times New Roman" w:hAnsi="Times New Roman" w:cs="Times New Roman"/>
          <w:lang w:val="en-US"/>
        </w:rPr>
      </w:pPr>
      <w:r w:rsidRPr="00A53AB4">
        <w:rPr>
          <w:rStyle w:val="FootnoteReference"/>
          <w:rFonts w:ascii="Times New Roman" w:hAnsi="Times New Roman" w:cs="Times New Roman"/>
        </w:rPr>
        <w:footnoteRef/>
      </w:r>
      <w:r w:rsidRPr="00A53AB4">
        <w:rPr>
          <w:rFonts w:ascii="Times New Roman" w:hAnsi="Times New Roman" w:cs="Times New Roman"/>
        </w:rPr>
        <w:t xml:space="preserve"> </w:t>
      </w:r>
      <w:r w:rsidRPr="00A53AB4">
        <w:rPr>
          <w:rFonts w:ascii="Times New Roman" w:hAnsi="Times New Roman" w:cs="Times New Roman"/>
          <w:spacing w:val="-9"/>
          <w:lang w:val="en-US"/>
        </w:rPr>
        <w:t>Commission Decision of 28 November 2005 on the application of Article 86(2) of the EC Treaty to State aid</w:t>
      </w:r>
      <w:r w:rsidR="00A53AB4">
        <w:rPr>
          <w:rFonts w:ascii="Times New Roman" w:hAnsi="Times New Roman" w:cs="Times New Roman"/>
          <w:spacing w:val="-9"/>
          <w:lang w:val="en-US"/>
        </w:rPr>
        <w:t xml:space="preserve"> </w:t>
      </w:r>
      <w:r w:rsidRPr="00A53AB4">
        <w:rPr>
          <w:rFonts w:ascii="Times New Roman" w:hAnsi="Times New Roman" w:cs="Times New Roman"/>
          <w:spacing w:val="-8"/>
          <w:lang w:val="en-US"/>
        </w:rPr>
        <w:t>in the form of public service compensation granted to certain undertakings entrusted with the operation of</w:t>
      </w:r>
      <w:r w:rsidR="00A53AB4">
        <w:rPr>
          <w:rFonts w:ascii="Times New Roman" w:hAnsi="Times New Roman" w:cs="Times New Roman"/>
          <w:spacing w:val="-8"/>
          <w:lang w:val="en-US"/>
        </w:rPr>
        <w:t xml:space="preserve"> </w:t>
      </w:r>
      <w:r w:rsidRPr="00A53AB4">
        <w:rPr>
          <w:rFonts w:ascii="Times New Roman" w:hAnsi="Times New Roman" w:cs="Times New Roman"/>
          <w:spacing w:val="-8"/>
          <w:lang w:val="en-US"/>
        </w:rPr>
        <w:t>services of general economic interest, Official Journal L 312, 29.11.2005, p. 67-73.</w:t>
      </w:r>
    </w:p>
  </w:footnote>
  <w:footnote w:id="7">
    <w:p w:rsidR="004155B4" w:rsidRDefault="00FC0A45" w:rsidP="004155B4">
      <w:pPr>
        <w:pStyle w:val="FootnoteText"/>
        <w:spacing w:before="120"/>
        <w:jc w:val="both"/>
        <w:rPr>
          <w:rFonts w:ascii="Times New Roman" w:hAnsi="Times New Roman" w:cs="Times New Roman"/>
          <w:spacing w:val="-8"/>
          <w:lang w:val="en-US"/>
        </w:rPr>
      </w:pPr>
      <w:r w:rsidRPr="00A53AB4">
        <w:rPr>
          <w:rStyle w:val="FootnoteReference"/>
          <w:rFonts w:ascii="Times New Roman" w:hAnsi="Times New Roman" w:cs="Times New Roman"/>
        </w:rPr>
        <w:footnoteRef/>
      </w:r>
      <w:r w:rsidRPr="00A53AB4">
        <w:rPr>
          <w:rFonts w:ascii="Times New Roman" w:hAnsi="Times New Roman" w:cs="Times New Roman"/>
        </w:rPr>
        <w:t xml:space="preserve"> </w:t>
      </w:r>
      <w:r w:rsidRPr="00A53AB4">
        <w:rPr>
          <w:rFonts w:ascii="Times New Roman" w:hAnsi="Times New Roman" w:cs="Times New Roman"/>
          <w:spacing w:val="-8"/>
          <w:lang w:val="en-US"/>
        </w:rPr>
        <w:t>The legislation in the package is available at</w:t>
      </w:r>
      <w:r w:rsidR="004155B4">
        <w:rPr>
          <w:rFonts w:ascii="Times New Roman" w:hAnsi="Times New Roman" w:cs="Times New Roman"/>
          <w:spacing w:val="-8"/>
          <w:lang w:val="en-US"/>
        </w:rPr>
        <w:t>:</w:t>
      </w:r>
      <w:r w:rsidRPr="00A53AB4">
        <w:rPr>
          <w:rFonts w:ascii="Times New Roman" w:hAnsi="Times New Roman" w:cs="Times New Roman"/>
          <w:spacing w:val="-8"/>
          <w:lang w:val="en-US"/>
        </w:rPr>
        <w:t xml:space="preserve"> </w:t>
      </w:r>
    </w:p>
    <w:p w:rsidR="00FC0A45" w:rsidRPr="00FC0A45" w:rsidRDefault="00FC0A45" w:rsidP="00A53AB4">
      <w:pPr>
        <w:pStyle w:val="FootnoteText"/>
        <w:jc w:val="both"/>
        <w:rPr>
          <w:lang w:val="en-US"/>
        </w:rPr>
      </w:pPr>
      <w:hyperlink r:id="rId2" w:history="1">
        <w:proofErr w:type="gramStart"/>
        <w:r w:rsidRPr="004155B4">
          <w:rPr>
            <w:rFonts w:ascii="Times New Roman" w:hAnsi="Times New Roman" w:cs="Times New Roman"/>
            <w:spacing w:val="-8"/>
            <w:u w:val="single"/>
            <w:lang w:val="en-US"/>
          </w:rPr>
          <w:t>http://ec.europa.eu/competition/state</w:t>
        </w:r>
      </w:hyperlink>
      <w:r w:rsidRPr="004155B4">
        <w:rPr>
          <w:rFonts w:ascii="Times New Roman" w:hAnsi="Times New Roman" w:cs="Times New Roman"/>
          <w:spacing w:val="-8"/>
          <w:u w:val="single"/>
          <w:lang w:val="en-US"/>
        </w:rPr>
        <w:t xml:space="preserve"> aid/ legislation/sgei.html.</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A33"/>
    <w:multiLevelType w:val="singleLevel"/>
    <w:tmpl w:val="1B643738"/>
    <w:lvl w:ilvl="0">
      <w:start w:val="11"/>
      <w:numFmt w:val="decimal"/>
      <w:lvlText w:val="%1."/>
      <w:legacy w:legacy="1" w:legacySpace="0" w:legacyIndent="336"/>
      <w:lvlJc w:val="left"/>
      <w:rPr>
        <w:rFonts w:ascii="Times New Roman" w:hAnsi="Times New Roman" w:cs="Times New Roman" w:hint="default"/>
      </w:rPr>
    </w:lvl>
  </w:abstractNum>
  <w:abstractNum w:abstractNumId="1">
    <w:nsid w:val="074C2751"/>
    <w:multiLevelType w:val="singleLevel"/>
    <w:tmpl w:val="9376834E"/>
    <w:lvl w:ilvl="0">
      <w:start w:val="1"/>
      <w:numFmt w:val="lowerLetter"/>
      <w:lvlText w:val="%1)"/>
      <w:legacy w:legacy="1" w:legacySpace="0" w:legacyIndent="355"/>
      <w:lvlJc w:val="left"/>
      <w:rPr>
        <w:rFonts w:ascii="Times New Roman" w:hAnsi="Times New Roman" w:cs="Times New Roman" w:hint="default"/>
      </w:rPr>
    </w:lvl>
  </w:abstractNum>
  <w:abstractNum w:abstractNumId="2">
    <w:nsid w:val="12796A7B"/>
    <w:multiLevelType w:val="singleLevel"/>
    <w:tmpl w:val="ABE2830A"/>
    <w:lvl w:ilvl="0">
      <w:start w:val="1"/>
      <w:numFmt w:val="decimal"/>
      <w:lvlText w:val="%1."/>
      <w:legacy w:legacy="1" w:legacySpace="0" w:legacyIndent="346"/>
      <w:lvlJc w:val="left"/>
      <w:rPr>
        <w:rFonts w:ascii="Times New Roman" w:hAnsi="Times New Roman" w:cs="Times New Roman" w:hint="default"/>
      </w:rPr>
    </w:lvl>
  </w:abstractNum>
  <w:abstractNum w:abstractNumId="3">
    <w:nsid w:val="14B47E05"/>
    <w:multiLevelType w:val="singleLevel"/>
    <w:tmpl w:val="CA34C06C"/>
    <w:lvl w:ilvl="0">
      <w:start w:val="29"/>
      <w:numFmt w:val="decimal"/>
      <w:lvlText w:val="%1."/>
      <w:legacy w:legacy="1" w:legacySpace="0" w:legacyIndent="370"/>
      <w:lvlJc w:val="left"/>
      <w:rPr>
        <w:rFonts w:ascii="Times New Roman" w:hAnsi="Times New Roman" w:cs="Times New Roman" w:hint="default"/>
      </w:rPr>
    </w:lvl>
  </w:abstractNum>
  <w:abstractNum w:abstractNumId="4">
    <w:nsid w:val="1D0928EF"/>
    <w:multiLevelType w:val="singleLevel"/>
    <w:tmpl w:val="2FF08382"/>
    <w:lvl w:ilvl="0">
      <w:start w:val="1"/>
      <w:numFmt w:val="lowerLetter"/>
      <w:lvlText w:val="%1)"/>
      <w:legacy w:legacy="1" w:legacySpace="0" w:legacyIndent="350"/>
      <w:lvlJc w:val="left"/>
      <w:rPr>
        <w:rFonts w:ascii="Times New Roman" w:hAnsi="Times New Roman" w:cs="Times New Roman" w:hint="default"/>
      </w:rPr>
    </w:lvl>
  </w:abstractNum>
  <w:abstractNum w:abstractNumId="5">
    <w:nsid w:val="33BE2B9F"/>
    <w:multiLevelType w:val="singleLevel"/>
    <w:tmpl w:val="71B6B804"/>
    <w:lvl w:ilvl="0">
      <w:start w:val="19"/>
      <w:numFmt w:val="decimal"/>
      <w:lvlText w:val="%1."/>
      <w:legacy w:legacy="1" w:legacySpace="0" w:legacyIndent="360"/>
      <w:lvlJc w:val="left"/>
      <w:rPr>
        <w:rFonts w:ascii="Times New Roman" w:hAnsi="Times New Roman" w:cs="Times New Roman" w:hint="default"/>
      </w:rPr>
    </w:lvl>
  </w:abstractNum>
  <w:abstractNum w:abstractNumId="6">
    <w:nsid w:val="3D8C6538"/>
    <w:multiLevelType w:val="singleLevel"/>
    <w:tmpl w:val="C70CC84E"/>
    <w:lvl w:ilvl="0">
      <w:start w:val="9"/>
      <w:numFmt w:val="decimal"/>
      <w:lvlText w:val="%1."/>
      <w:legacy w:legacy="1" w:legacySpace="0" w:legacyIndent="336"/>
      <w:lvlJc w:val="left"/>
      <w:rPr>
        <w:rFonts w:ascii="Times New Roman" w:hAnsi="Times New Roman" w:cs="Times New Roman" w:hint="default"/>
      </w:rPr>
    </w:lvl>
  </w:abstractNum>
  <w:abstractNum w:abstractNumId="7">
    <w:nsid w:val="405D77AF"/>
    <w:multiLevelType w:val="singleLevel"/>
    <w:tmpl w:val="9376834E"/>
    <w:lvl w:ilvl="0">
      <w:start w:val="1"/>
      <w:numFmt w:val="lowerLetter"/>
      <w:lvlText w:val="%1)"/>
      <w:legacy w:legacy="1" w:legacySpace="0" w:legacyIndent="355"/>
      <w:lvlJc w:val="left"/>
      <w:rPr>
        <w:rFonts w:ascii="Times New Roman" w:hAnsi="Times New Roman" w:cs="Times New Roman" w:hint="default"/>
      </w:rPr>
    </w:lvl>
  </w:abstractNum>
  <w:abstractNum w:abstractNumId="8">
    <w:nsid w:val="40B10280"/>
    <w:multiLevelType w:val="singleLevel"/>
    <w:tmpl w:val="32CC4556"/>
    <w:lvl w:ilvl="0">
      <w:start w:val="32"/>
      <w:numFmt w:val="decimal"/>
      <w:lvlText w:val="%1."/>
      <w:legacy w:legacy="1" w:legacySpace="0" w:legacyIndent="370"/>
      <w:lvlJc w:val="left"/>
      <w:rPr>
        <w:rFonts w:ascii="Times New Roman" w:hAnsi="Times New Roman" w:cs="Times New Roman" w:hint="default"/>
      </w:rPr>
    </w:lvl>
  </w:abstractNum>
  <w:abstractNum w:abstractNumId="9">
    <w:nsid w:val="5EFD59E1"/>
    <w:multiLevelType w:val="singleLevel"/>
    <w:tmpl w:val="CF2A2C42"/>
    <w:lvl w:ilvl="0">
      <w:start w:val="13"/>
      <w:numFmt w:val="decimal"/>
      <w:lvlText w:val="%1."/>
      <w:legacy w:legacy="1" w:legacySpace="0" w:legacyIndent="336"/>
      <w:lvlJc w:val="left"/>
      <w:rPr>
        <w:rFonts w:ascii="Times New Roman" w:hAnsi="Times New Roman" w:cs="Times New Roman" w:hint="default"/>
      </w:rPr>
    </w:lvl>
  </w:abstractNum>
  <w:abstractNum w:abstractNumId="10">
    <w:nsid w:val="6C4867B5"/>
    <w:multiLevelType w:val="singleLevel"/>
    <w:tmpl w:val="9376834E"/>
    <w:lvl w:ilvl="0">
      <w:start w:val="1"/>
      <w:numFmt w:val="lowerLetter"/>
      <w:lvlText w:val="%1)"/>
      <w:legacy w:legacy="1" w:legacySpace="0" w:legacyIndent="355"/>
      <w:lvlJc w:val="left"/>
      <w:rPr>
        <w:rFonts w:ascii="Times New Roman" w:hAnsi="Times New Roman" w:cs="Times New Roman" w:hint="default"/>
      </w:rPr>
    </w:lvl>
  </w:abstractNum>
  <w:num w:numId="1">
    <w:abstractNumId w:val="2"/>
  </w:num>
  <w:num w:numId="2">
    <w:abstractNumId w:val="6"/>
  </w:num>
  <w:num w:numId="3">
    <w:abstractNumId w:val="0"/>
  </w:num>
  <w:num w:numId="4">
    <w:abstractNumId w:val="9"/>
  </w:num>
  <w:num w:numId="5">
    <w:abstractNumId w:val="5"/>
  </w:num>
  <w:num w:numId="6">
    <w:abstractNumId w:val="3"/>
  </w:num>
  <w:num w:numId="7">
    <w:abstractNumId w:val="8"/>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78"/>
    <w:rsid w:val="00135533"/>
    <w:rsid w:val="001E764E"/>
    <w:rsid w:val="00307D13"/>
    <w:rsid w:val="003A2EF9"/>
    <w:rsid w:val="004155B4"/>
    <w:rsid w:val="004C7D87"/>
    <w:rsid w:val="00612D01"/>
    <w:rsid w:val="007F319F"/>
    <w:rsid w:val="00860873"/>
    <w:rsid w:val="00862C75"/>
    <w:rsid w:val="00927922"/>
    <w:rsid w:val="00997DD0"/>
    <w:rsid w:val="00A53AB4"/>
    <w:rsid w:val="00AD0178"/>
    <w:rsid w:val="00B11896"/>
    <w:rsid w:val="00BF354B"/>
    <w:rsid w:val="00F5282E"/>
    <w:rsid w:val="00F77052"/>
    <w:rsid w:val="00FC0A45"/>
    <w:rsid w:val="00FC3F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764E"/>
  </w:style>
  <w:style w:type="character" w:customStyle="1" w:styleId="FootnoteTextChar">
    <w:name w:val="Footnote Text Char"/>
    <w:basedOn w:val="DefaultParagraphFont"/>
    <w:link w:val="FootnoteText"/>
    <w:uiPriority w:val="99"/>
    <w:semiHidden/>
    <w:rsid w:val="001E764E"/>
    <w:rPr>
      <w:rFonts w:ascii="Arial" w:hAnsi="Arial" w:cs="Arial"/>
      <w:sz w:val="20"/>
      <w:szCs w:val="20"/>
    </w:rPr>
  </w:style>
  <w:style w:type="character" w:styleId="FootnoteReference">
    <w:name w:val="footnote reference"/>
    <w:basedOn w:val="DefaultParagraphFont"/>
    <w:uiPriority w:val="99"/>
    <w:semiHidden/>
    <w:unhideWhenUsed/>
    <w:rsid w:val="001E764E"/>
    <w:rPr>
      <w:vertAlign w:val="superscript"/>
    </w:rPr>
  </w:style>
  <w:style w:type="paragraph" w:styleId="Header">
    <w:name w:val="header"/>
    <w:basedOn w:val="Normal"/>
    <w:link w:val="HeaderChar"/>
    <w:uiPriority w:val="99"/>
    <w:unhideWhenUsed/>
    <w:rsid w:val="007F319F"/>
    <w:pPr>
      <w:tabs>
        <w:tab w:val="center" w:pos="4536"/>
        <w:tab w:val="right" w:pos="9072"/>
      </w:tabs>
    </w:pPr>
  </w:style>
  <w:style w:type="character" w:customStyle="1" w:styleId="HeaderChar">
    <w:name w:val="Header Char"/>
    <w:basedOn w:val="DefaultParagraphFont"/>
    <w:link w:val="Header"/>
    <w:uiPriority w:val="99"/>
    <w:rsid w:val="007F319F"/>
    <w:rPr>
      <w:rFonts w:ascii="Arial" w:hAnsi="Arial" w:cs="Arial"/>
      <w:sz w:val="20"/>
      <w:szCs w:val="20"/>
    </w:rPr>
  </w:style>
  <w:style w:type="paragraph" w:styleId="Footer">
    <w:name w:val="footer"/>
    <w:basedOn w:val="Normal"/>
    <w:link w:val="FooterChar"/>
    <w:uiPriority w:val="99"/>
    <w:unhideWhenUsed/>
    <w:rsid w:val="007F319F"/>
    <w:pPr>
      <w:tabs>
        <w:tab w:val="center" w:pos="4536"/>
        <w:tab w:val="right" w:pos="9072"/>
      </w:tabs>
    </w:pPr>
  </w:style>
  <w:style w:type="character" w:customStyle="1" w:styleId="FooterChar">
    <w:name w:val="Footer Char"/>
    <w:basedOn w:val="DefaultParagraphFont"/>
    <w:link w:val="Footer"/>
    <w:uiPriority w:val="99"/>
    <w:rsid w:val="007F319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764E"/>
  </w:style>
  <w:style w:type="character" w:customStyle="1" w:styleId="FootnoteTextChar">
    <w:name w:val="Footnote Text Char"/>
    <w:basedOn w:val="DefaultParagraphFont"/>
    <w:link w:val="FootnoteText"/>
    <w:uiPriority w:val="99"/>
    <w:semiHidden/>
    <w:rsid w:val="001E764E"/>
    <w:rPr>
      <w:rFonts w:ascii="Arial" w:hAnsi="Arial" w:cs="Arial"/>
      <w:sz w:val="20"/>
      <w:szCs w:val="20"/>
    </w:rPr>
  </w:style>
  <w:style w:type="character" w:styleId="FootnoteReference">
    <w:name w:val="footnote reference"/>
    <w:basedOn w:val="DefaultParagraphFont"/>
    <w:uiPriority w:val="99"/>
    <w:semiHidden/>
    <w:unhideWhenUsed/>
    <w:rsid w:val="001E764E"/>
    <w:rPr>
      <w:vertAlign w:val="superscript"/>
    </w:rPr>
  </w:style>
  <w:style w:type="paragraph" w:styleId="Header">
    <w:name w:val="header"/>
    <w:basedOn w:val="Normal"/>
    <w:link w:val="HeaderChar"/>
    <w:uiPriority w:val="99"/>
    <w:unhideWhenUsed/>
    <w:rsid w:val="007F319F"/>
    <w:pPr>
      <w:tabs>
        <w:tab w:val="center" w:pos="4536"/>
        <w:tab w:val="right" w:pos="9072"/>
      </w:tabs>
    </w:pPr>
  </w:style>
  <w:style w:type="character" w:customStyle="1" w:styleId="HeaderChar">
    <w:name w:val="Header Char"/>
    <w:basedOn w:val="DefaultParagraphFont"/>
    <w:link w:val="Header"/>
    <w:uiPriority w:val="99"/>
    <w:rsid w:val="007F319F"/>
    <w:rPr>
      <w:rFonts w:ascii="Arial" w:hAnsi="Arial" w:cs="Arial"/>
      <w:sz w:val="20"/>
      <w:szCs w:val="20"/>
    </w:rPr>
  </w:style>
  <w:style w:type="paragraph" w:styleId="Footer">
    <w:name w:val="footer"/>
    <w:basedOn w:val="Normal"/>
    <w:link w:val="FooterChar"/>
    <w:uiPriority w:val="99"/>
    <w:unhideWhenUsed/>
    <w:rsid w:val="007F319F"/>
    <w:pPr>
      <w:tabs>
        <w:tab w:val="center" w:pos="4536"/>
        <w:tab w:val="right" w:pos="9072"/>
      </w:tabs>
    </w:pPr>
  </w:style>
  <w:style w:type="character" w:customStyle="1" w:styleId="FooterChar">
    <w:name w:val="Footer Char"/>
    <w:basedOn w:val="DefaultParagraphFont"/>
    <w:link w:val="Footer"/>
    <w:uiPriority w:val="99"/>
    <w:rsid w:val="007F319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 TargetMode="External"/><Relationship Id="rId1" Type="http://schemas.openxmlformats.org/officeDocument/2006/relationships/hyperlink" Target="http://ec.europa.eu/competition/consultations/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A6B5-D156-430F-AEF7-A85936C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1980</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Taxation_of_ports-EC_letter.pdf</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Taxation_of_ports-EC_letter.pdf</dc:title>
  <dc:subject/>
  <dc:creator>Теодора Иванова</dc:creator>
  <cp:keywords>()</cp:keywords>
  <dc:description/>
  <cp:lastModifiedBy>Теодора Иванова</cp:lastModifiedBy>
  <cp:revision>20</cp:revision>
  <dcterms:created xsi:type="dcterms:W3CDTF">2013-07-04T10:54:00Z</dcterms:created>
  <dcterms:modified xsi:type="dcterms:W3CDTF">2013-07-04T11:11:00Z</dcterms:modified>
</cp:coreProperties>
</file>