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1" w:rsidRPr="001D6285" w:rsidRDefault="009907E1" w:rsidP="009907E1">
      <w:pPr>
        <w:pStyle w:val="Annexetitre"/>
        <w:rPr>
          <w:u w:val="none"/>
        </w:rPr>
      </w:pPr>
      <w:bookmarkStart w:id="0" w:name="_Toc371412374"/>
      <w:bookmarkStart w:id="1" w:name="_GoBack"/>
      <w:bookmarkEnd w:id="1"/>
      <w:r>
        <w:rPr>
          <w:u w:val="none"/>
        </w:rPr>
        <w:t>BG</w:t>
      </w:r>
    </w:p>
    <w:p w:rsidR="009907E1" w:rsidRPr="001D6285" w:rsidRDefault="009907E1" w:rsidP="009907E1">
      <w:pPr>
        <w:rPr>
          <w:rFonts w:ascii="Times New Roman" w:hAnsi="Times New Roman"/>
        </w:rPr>
      </w:pPr>
    </w:p>
    <w:p w:rsidR="001D6285" w:rsidRDefault="001D6285" w:rsidP="001D6285">
      <w:pPr>
        <w:pStyle w:val="Annexetitre"/>
        <w:spacing w:after="480"/>
      </w:pPr>
      <w:bookmarkStart w:id="2" w:name="_Toc371412380"/>
      <w:bookmarkEnd w:id="0"/>
      <w:r>
        <w:t xml:space="preserve">ПРИЛОЖЕНИЕ </w:t>
      </w:r>
      <w:bookmarkStart w:id="3" w:name="AnnexII"/>
      <w:r>
        <w:t>II</w:t>
      </w:r>
      <w:bookmarkEnd w:id="3"/>
    </w:p>
    <w:p w:rsidR="001D6285" w:rsidRPr="001D6285" w:rsidRDefault="001D6285" w:rsidP="001D6285">
      <w:pPr>
        <w:pStyle w:val="Annexetitre"/>
        <w:spacing w:after="480"/>
      </w:pPr>
      <w:r>
        <w:br/>
        <w:t>Определение за МСП</w:t>
      </w:r>
      <w:bookmarkEnd w:id="2"/>
      <w:r>
        <w:rPr>
          <w:i/>
        </w:rPr>
        <w:t xml:space="preserve"> </w:t>
      </w:r>
    </w:p>
    <w:p w:rsidR="001D6285" w:rsidRPr="001D6285" w:rsidRDefault="001D6285" w:rsidP="001D6285">
      <w:pPr>
        <w:autoSpaceDE w:val="0"/>
        <w:autoSpaceDN w:val="0"/>
        <w:adjustRightInd w:val="0"/>
        <w:spacing w:after="0"/>
        <w:jc w:val="center"/>
        <w:rPr>
          <w:rFonts w:ascii="Times New Roman" w:hAnsi="Times New Roman"/>
          <w:i/>
          <w:iCs/>
        </w:rPr>
      </w:pPr>
      <w:r>
        <w:rPr>
          <w:rFonts w:ascii="Times New Roman" w:hAnsi="Times New Roman"/>
          <w:i/>
        </w:rPr>
        <w:t>Член 1</w:t>
      </w:r>
    </w:p>
    <w:p w:rsidR="001D6285" w:rsidRPr="001D6285" w:rsidRDefault="001D6285" w:rsidP="001D6285">
      <w:pPr>
        <w:autoSpaceDE w:val="0"/>
        <w:autoSpaceDN w:val="0"/>
        <w:adjustRightInd w:val="0"/>
        <w:spacing w:after="240"/>
        <w:jc w:val="center"/>
        <w:rPr>
          <w:rFonts w:ascii="Times New Roman" w:hAnsi="Times New Roman"/>
          <w:b/>
          <w:i/>
          <w:iCs/>
        </w:rPr>
      </w:pPr>
      <w:r>
        <w:rPr>
          <w:rFonts w:ascii="Times New Roman" w:hAnsi="Times New Roman"/>
          <w:b/>
          <w:i/>
        </w:rPr>
        <w:t>Предприятие</w:t>
      </w:r>
    </w:p>
    <w:p w:rsidR="001D6285" w:rsidRPr="001D6285" w:rsidRDefault="001D6285" w:rsidP="001D6285">
      <w:pPr>
        <w:rPr>
          <w:rFonts w:ascii="Times New Roman" w:hAnsi="Times New Roman"/>
        </w:rPr>
      </w:pPr>
      <w:r>
        <w:rPr>
          <w:rFonts w:ascii="Times New Roman" w:hAnsi="Times New Roman"/>
        </w:rPr>
        <w:t>За предприятие се счита всеки субект, упражняващ стопанска дейност, независимо от правната му форма. Това определение включва, по-специално, самонаетите лица и семейните предприятия, упражняващи занаятчийска или друга дейност, а също съдружия или асоциации, упражняващи редовно стопанска дейност.</w:t>
      </w:r>
    </w:p>
    <w:p w:rsidR="001D6285" w:rsidRPr="001D6285" w:rsidRDefault="001D6285" w:rsidP="001D6285">
      <w:pPr>
        <w:autoSpaceDE w:val="0"/>
        <w:autoSpaceDN w:val="0"/>
        <w:adjustRightInd w:val="0"/>
        <w:spacing w:after="0"/>
        <w:jc w:val="center"/>
        <w:rPr>
          <w:rFonts w:ascii="Times New Roman" w:hAnsi="Times New Roman"/>
          <w:i/>
          <w:iCs/>
        </w:rPr>
      </w:pPr>
      <w:r>
        <w:rPr>
          <w:rFonts w:ascii="Times New Roman" w:hAnsi="Times New Roman"/>
          <w:i/>
        </w:rPr>
        <w:t>Член 2</w:t>
      </w:r>
    </w:p>
    <w:p w:rsidR="001D6285" w:rsidRPr="001D6285" w:rsidRDefault="001D6285" w:rsidP="001D6285">
      <w:pPr>
        <w:autoSpaceDE w:val="0"/>
        <w:autoSpaceDN w:val="0"/>
        <w:adjustRightInd w:val="0"/>
        <w:spacing w:after="240"/>
        <w:jc w:val="center"/>
        <w:rPr>
          <w:rFonts w:ascii="Times New Roman" w:hAnsi="Times New Roman"/>
          <w:b/>
          <w:i/>
          <w:iCs/>
        </w:rPr>
      </w:pPr>
      <w:r>
        <w:rPr>
          <w:rFonts w:ascii="Times New Roman" w:hAnsi="Times New Roman"/>
          <w:b/>
          <w:i/>
        </w:rPr>
        <w:t>Численост на персонала и финансови прагове, определящи категориите предприятия</w:t>
      </w:r>
    </w:p>
    <w:p w:rsidR="001D6285" w:rsidRPr="001D6285" w:rsidRDefault="001D6285" w:rsidP="001D6285">
      <w:pPr>
        <w:pStyle w:val="NumPar1"/>
        <w:numPr>
          <w:ilvl w:val="0"/>
          <w:numId w:val="12"/>
        </w:numPr>
      </w:pPr>
      <w:r>
        <w:t>Категорията микро, малки и средни предприятия („МСП“) е съставена от предприятия, които наемат под 250 души персонал и чийто годишен оборот не надвишава 50 млн. EUR, и/или чийто общ годишен счетоводен баланс не надвишава 43 млн. EUR.</w:t>
      </w:r>
    </w:p>
    <w:p w:rsidR="001D6285" w:rsidRPr="001D6285" w:rsidRDefault="001D6285" w:rsidP="001D6285">
      <w:pPr>
        <w:pStyle w:val="NumPar1"/>
      </w:pPr>
      <w:r>
        <w:t>В рамките на категорията МСП малко предприятие се дефинира като предприятие, в което работят под 50 души персонал и чийто годишен оборот и/или общ годишен счетоводен баланс не надвишава 10 млн. EUR.</w:t>
      </w:r>
    </w:p>
    <w:p w:rsidR="001D6285" w:rsidRPr="001D6285" w:rsidRDefault="001D6285" w:rsidP="001D6285">
      <w:pPr>
        <w:pStyle w:val="NumPar1"/>
      </w:pPr>
      <w:r>
        <w:t>В рамките на категорията МСП микропредприятие се дефинира като предприятие, в което работят под 10 души и чийто годишен оборот и/или годишен общ счетоводен баланс не надвишава 2 млн. EUR.</w:t>
      </w:r>
    </w:p>
    <w:p w:rsidR="001D6285" w:rsidRPr="001D6285" w:rsidRDefault="001D6285" w:rsidP="001D6285">
      <w:pPr>
        <w:autoSpaceDE w:val="0"/>
        <w:autoSpaceDN w:val="0"/>
        <w:adjustRightInd w:val="0"/>
        <w:spacing w:before="360" w:after="0"/>
        <w:jc w:val="center"/>
        <w:rPr>
          <w:rFonts w:ascii="Times New Roman" w:hAnsi="Times New Roman"/>
          <w:i/>
          <w:iCs/>
        </w:rPr>
      </w:pPr>
      <w:r>
        <w:rPr>
          <w:rFonts w:ascii="Times New Roman" w:hAnsi="Times New Roman"/>
          <w:i/>
        </w:rPr>
        <w:t>Член 3</w:t>
      </w:r>
    </w:p>
    <w:p w:rsidR="001D6285" w:rsidRPr="001D6285" w:rsidRDefault="001D6285" w:rsidP="001D6285">
      <w:pPr>
        <w:autoSpaceDE w:val="0"/>
        <w:autoSpaceDN w:val="0"/>
        <w:adjustRightInd w:val="0"/>
        <w:spacing w:after="240"/>
        <w:jc w:val="center"/>
        <w:rPr>
          <w:rFonts w:ascii="Times New Roman" w:hAnsi="Times New Roman"/>
          <w:b/>
          <w:i/>
          <w:iCs/>
        </w:rPr>
      </w:pPr>
      <w:r>
        <w:rPr>
          <w:rFonts w:ascii="Times New Roman" w:hAnsi="Times New Roman"/>
          <w:b/>
          <w:i/>
        </w:rPr>
        <w:t>Видове предприятия, взети предвид при изчисляването на числеността на персонала и на финансовите суми</w:t>
      </w:r>
    </w:p>
    <w:p w:rsidR="001D6285" w:rsidRPr="001D6285" w:rsidRDefault="001D6285" w:rsidP="001D6285">
      <w:pPr>
        <w:pStyle w:val="NumPar1"/>
        <w:numPr>
          <w:ilvl w:val="0"/>
          <w:numId w:val="12"/>
        </w:numPr>
      </w:pPr>
      <w:r>
        <w:t>„Самостоятелно предприятие“ е всяко предприятие, което не се определя като предприятие партньор по смисъла на параграф 2 или като свързано предприятие по смисъла на параграф 3.</w:t>
      </w:r>
    </w:p>
    <w:p w:rsidR="001D6285" w:rsidRPr="001D6285" w:rsidRDefault="001D6285" w:rsidP="001D6285">
      <w:pPr>
        <w:pStyle w:val="NumPar1"/>
      </w:pPr>
      <w:r>
        <w:t xml:space="preserve">„Предприятия партньори“ са всички предприятия, които не се определят като свързани предприятия по смисъла на параграф 3 и между които съществува следното взаимоотношение: дадено предприятие (предприятие нагоре по веригата) притежава самостоятелно или съвместно с едно или повече свързани предприятия по смисъла на параграф 3,25 % или повече от капитала или правата на глас в друго предприятие (предприятие надолу по веригата). Въпреки това, дадено предприятие може да се определя като самостоятелно и следователно да няма предприятия партньори, дори ако този праг от 25 % е </w:t>
      </w:r>
      <w:r>
        <w:lastRenderedPageBreak/>
        <w:t>достигнат или надвишен от следните инвеститори, при условие че тези инвеститори не са свързани по смисъла на параграф 3 нито индивидуално, нито съвместно с въпросното предприятие:</w:t>
      </w:r>
    </w:p>
    <w:p w:rsidR="001D6285" w:rsidRPr="001D6285" w:rsidRDefault="009D1687" w:rsidP="009D1687">
      <w:pPr>
        <w:pStyle w:val="Point1letter"/>
        <w:numPr>
          <w:ilvl w:val="0"/>
          <w:numId w:val="0"/>
        </w:numPr>
        <w:ind w:left="1435" w:hanging="585"/>
      </w:pPr>
      <w:r>
        <w:rPr>
          <w:lang w:val="en-GB"/>
        </w:rPr>
        <w:t>a</w:t>
      </w:r>
      <w:r w:rsidRPr="009D1687">
        <w:t>)</w:t>
      </w:r>
      <w:r w:rsidRPr="009D1687">
        <w:tab/>
      </w:r>
      <w:r w:rsidR="001D6285">
        <w:t>публични инвестиционни дружества, дружества за рисков капитал, физически лица или групи от физически лица, които упражняват редовна инвестиционна дейност в рисков капитал и които инвестират собствен капитал в дружества, които не са котирани на фондова борса („бизнес ангели“), при условие че общата инвестиция на тези „бизнес ангели“ в същото предприятие е под 1 250 000 EUR;</w:t>
      </w:r>
    </w:p>
    <w:p w:rsidR="001D6285" w:rsidRPr="001D6285" w:rsidRDefault="009D1687" w:rsidP="009D1687">
      <w:pPr>
        <w:pStyle w:val="Point1letter"/>
        <w:numPr>
          <w:ilvl w:val="0"/>
          <w:numId w:val="0"/>
        </w:numPr>
        <w:ind w:left="850"/>
      </w:pPr>
      <w:r>
        <w:t>б)</w:t>
      </w:r>
      <w:r>
        <w:tab/>
      </w:r>
      <w:r w:rsidR="001D6285">
        <w:t>университети или изследователски центрове с нестопанска цел;</w:t>
      </w:r>
    </w:p>
    <w:p w:rsidR="001D6285" w:rsidRPr="001D6285" w:rsidRDefault="009D1687" w:rsidP="009D1687">
      <w:pPr>
        <w:pStyle w:val="Point1letter"/>
        <w:numPr>
          <w:ilvl w:val="0"/>
          <w:numId w:val="0"/>
        </w:numPr>
        <w:ind w:left="1435" w:hanging="585"/>
      </w:pPr>
      <w:r>
        <w:t>в)</w:t>
      </w:r>
      <w:r>
        <w:tab/>
      </w:r>
      <w:r w:rsidR="001D6285">
        <w:t>институционални инвеститори, включително фондове за регионално развитие;</w:t>
      </w:r>
    </w:p>
    <w:p w:rsidR="001D6285" w:rsidRPr="001D6285" w:rsidRDefault="009D1687" w:rsidP="009D1687">
      <w:pPr>
        <w:pStyle w:val="Point1letter"/>
        <w:numPr>
          <w:ilvl w:val="0"/>
          <w:numId w:val="0"/>
        </w:numPr>
        <w:ind w:left="1435" w:hanging="585"/>
      </w:pPr>
      <w:r>
        <w:t>г)</w:t>
      </w:r>
      <w:r>
        <w:tab/>
      </w:r>
      <w:r w:rsidR="001D6285">
        <w:t>автономни местни власти с годишен бюджет под 10 млн. EUR и население под 5 000 жители.</w:t>
      </w:r>
    </w:p>
    <w:p w:rsidR="001D6285" w:rsidRPr="001D6285" w:rsidRDefault="001D6285" w:rsidP="001D6285">
      <w:pPr>
        <w:pStyle w:val="NumPar1"/>
      </w:pPr>
      <w:r>
        <w:t>„Свързани предприятия“ са предприятия, които имат едно от следните взаимоотношения:</w:t>
      </w:r>
    </w:p>
    <w:p w:rsidR="001D6285" w:rsidRPr="001D6285" w:rsidRDefault="009D1687" w:rsidP="009D1687">
      <w:pPr>
        <w:pStyle w:val="Point1letter"/>
        <w:numPr>
          <w:ilvl w:val="0"/>
          <w:numId w:val="0"/>
        </w:numPr>
        <w:ind w:left="1435" w:hanging="585"/>
      </w:pPr>
      <w:r>
        <w:t>д)</w:t>
      </w:r>
      <w:r>
        <w:tab/>
      </w:r>
      <w:r w:rsidR="001D6285">
        <w:t>едно предприятие притежава мнозинството от правата на глас на акционерите или съдружниците в друго предприятие;</w:t>
      </w:r>
    </w:p>
    <w:p w:rsidR="001D6285" w:rsidRPr="001D6285" w:rsidRDefault="009D1687" w:rsidP="009D1687">
      <w:pPr>
        <w:pStyle w:val="Point1letter"/>
        <w:numPr>
          <w:ilvl w:val="0"/>
          <w:numId w:val="0"/>
        </w:numPr>
        <w:ind w:left="1435" w:hanging="585"/>
      </w:pPr>
      <w:r>
        <w:t>е)</w:t>
      </w:r>
      <w:r>
        <w:tab/>
      </w:r>
      <w:r w:rsidR="001D6285">
        <w:t>едно предприятие има правото да назначава или отстранява мнозинството от членовете на административните, управителни или надзорни органи на друго предприятие;</w:t>
      </w:r>
    </w:p>
    <w:p w:rsidR="001D6285" w:rsidRPr="001D6285" w:rsidRDefault="009D1687" w:rsidP="009D1687">
      <w:pPr>
        <w:pStyle w:val="Point1letter"/>
        <w:numPr>
          <w:ilvl w:val="0"/>
          <w:numId w:val="0"/>
        </w:numPr>
        <w:ind w:left="1417" w:hanging="567"/>
      </w:pPr>
      <w:r>
        <w:t>ж)</w:t>
      </w:r>
      <w:r>
        <w:tab/>
      </w:r>
      <w:r w:rsidR="001D6285">
        <w:t>едно предприятие има правото да упражнява доминиращо влияние върху друго предприятие по силата на договор, сключен с това предприятие, или на разпоредба, съдържаща се в устава или в учредителния акт на това предприятие;</w:t>
      </w:r>
    </w:p>
    <w:p w:rsidR="001D6285" w:rsidRPr="001D6285" w:rsidRDefault="009D1687" w:rsidP="009D1687">
      <w:pPr>
        <w:pStyle w:val="Point1letter"/>
        <w:numPr>
          <w:ilvl w:val="0"/>
          <w:numId w:val="0"/>
        </w:numPr>
        <w:ind w:left="1417" w:hanging="567"/>
      </w:pPr>
      <w:r>
        <w:t>з)</w:t>
      </w:r>
      <w:r>
        <w:tab/>
      </w:r>
      <w:r w:rsidR="001D6285">
        <w:t>едно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правата на глас на акционерите или съдружниците в това предприятие.</w:t>
      </w:r>
    </w:p>
    <w:p w:rsidR="001D6285" w:rsidRPr="001D6285" w:rsidRDefault="001D6285" w:rsidP="001D6285">
      <w:pPr>
        <w:pStyle w:val="Text1"/>
      </w:pPr>
      <w:r>
        <w:t>Налице е презумпция, че не съществува доминиращо влияние, ако инвеститорите, посочени в параграф 2, втора алинея, не участват пряко или косвено в управлението на въпросното предприятие, без да се засягат правата им като акционери.</w:t>
      </w:r>
    </w:p>
    <w:p w:rsidR="001D6285" w:rsidRPr="001D6285" w:rsidRDefault="001D6285" w:rsidP="001D6285">
      <w:pPr>
        <w:pStyle w:val="Text1"/>
      </w:pPr>
      <w:r>
        <w:t>Предприятия, поддържащи едно от взаимоотношенията, описани в първа алинея, посредством едно или няколко други предприятия или посредством някой от инвеститорите, посочени в параграф 2, също се считат за свързани.</w:t>
      </w:r>
    </w:p>
    <w:p w:rsidR="001D6285" w:rsidRPr="001D6285" w:rsidRDefault="001D6285" w:rsidP="001D6285">
      <w:pPr>
        <w:pStyle w:val="Text1"/>
      </w:pPr>
      <w: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 ако те упражняват дейността си или част от нея на същия съответен пазар или на съседни пазари.</w:t>
      </w:r>
    </w:p>
    <w:p w:rsidR="001D6285" w:rsidRPr="001D6285" w:rsidRDefault="001D6285" w:rsidP="001D6285">
      <w:pPr>
        <w:pStyle w:val="Text1"/>
      </w:pPr>
      <w:r>
        <w:t>За „съседен пазар“ се счита пазарът на продукти или услуги, намиращ се пряко нагоре или надолу по веригата спрямо съответния пазар.</w:t>
      </w:r>
    </w:p>
    <w:p w:rsidR="001D6285" w:rsidRPr="001D6285" w:rsidRDefault="001D6285" w:rsidP="001D6285">
      <w:pPr>
        <w:pStyle w:val="NumPar1"/>
      </w:pPr>
      <w:r>
        <w:lastRenderedPageBreak/>
        <w:t>С изключение на случаите, посочени в параграф 2, втора алинея, дадено предприятие не може да се счита за МСП, ако 25 % или повече от капитала или от правата му на глас се контролират пряко или косвено, съвместно или индивидуално, от един или няколко публични органа.</w:t>
      </w:r>
    </w:p>
    <w:p w:rsidR="001D6285" w:rsidRPr="001D6285" w:rsidRDefault="001D6285" w:rsidP="001D6285">
      <w:pPr>
        <w:pStyle w:val="NumPar1"/>
      </w:pPr>
      <w:r>
        <w:t>Предприятията могат да изготвят декларация относно статута си на самостоятелни предприятия, предприятия партньори или свързани предприятия, която включва данните за праговете, установени в член 2. Декларацията може да бъде изготвена, дори ако капиталът е разпределен по такъв начин, че не е възможно да се определи кой точно го притежава, като в такъв случай предприятието може добросъвестно да декларира, че може основателно да предположи, че 25 % или повече от неговия капитал не е собственост на едно предприятие или съвместно на свързани предприятия. Такива декларации се изготвят, без да се засягат проверките или разследванията, предвидени в националните или съюзните правила.</w:t>
      </w:r>
    </w:p>
    <w:p w:rsidR="001D6285" w:rsidRPr="001D6285" w:rsidRDefault="001D6285" w:rsidP="001D6285">
      <w:pPr>
        <w:keepNext/>
        <w:keepLines/>
        <w:autoSpaceDE w:val="0"/>
        <w:autoSpaceDN w:val="0"/>
        <w:adjustRightInd w:val="0"/>
        <w:spacing w:after="0"/>
        <w:jc w:val="center"/>
        <w:rPr>
          <w:rFonts w:ascii="Times New Roman" w:hAnsi="Times New Roman"/>
          <w:i/>
          <w:iCs/>
        </w:rPr>
      </w:pPr>
      <w:r>
        <w:rPr>
          <w:rFonts w:ascii="Times New Roman" w:hAnsi="Times New Roman"/>
          <w:i/>
        </w:rPr>
        <w:t>Член 4</w:t>
      </w:r>
    </w:p>
    <w:p w:rsidR="001D6285" w:rsidRPr="001D6285" w:rsidRDefault="001D6285" w:rsidP="001D6285">
      <w:pPr>
        <w:keepNext/>
        <w:keepLines/>
        <w:autoSpaceDE w:val="0"/>
        <w:autoSpaceDN w:val="0"/>
        <w:adjustRightInd w:val="0"/>
        <w:spacing w:after="240"/>
        <w:jc w:val="center"/>
        <w:rPr>
          <w:rFonts w:ascii="Times New Roman" w:hAnsi="Times New Roman"/>
          <w:b/>
          <w:i/>
          <w:iCs/>
        </w:rPr>
      </w:pPr>
      <w:r>
        <w:rPr>
          <w:rFonts w:ascii="Times New Roman" w:hAnsi="Times New Roman"/>
          <w:b/>
          <w:i/>
        </w:rPr>
        <w:t>Данни, използвани за определяне на числеността на персонала и на финансовите суми, и референтен период</w:t>
      </w:r>
    </w:p>
    <w:p w:rsidR="001D6285" w:rsidRPr="001D6285" w:rsidRDefault="001D6285" w:rsidP="001D6285">
      <w:pPr>
        <w:pStyle w:val="NumPar1"/>
        <w:numPr>
          <w:ilvl w:val="0"/>
          <w:numId w:val="12"/>
        </w:numPr>
      </w:pPr>
      <w:r>
        <w:t>Данните, които се прилагат за определяне на числеността на персонала и финансовите суми, са онези, отнасящи се до последния одобрен отчетен период, изчислени на годишна основа. Те се вземат предвид считано от датата на приключване на сметките. Сумата, избрана за оборота, се изчислява без данък добавена стойност (ДДС) и други косвени данъци.</w:t>
      </w:r>
    </w:p>
    <w:p w:rsidR="001D6285" w:rsidRPr="001D6285" w:rsidRDefault="001D6285" w:rsidP="001D6285">
      <w:pPr>
        <w:pStyle w:val="NumPar1"/>
      </w:pPr>
      <w:r>
        <w:t>Когато към датата на приключване на сметките дадено предприятие установи, на годишна основа, че е надвишило или е паднало под таваните за числеността на персонала или финансовите прагове, посочени в член 2, това няма да доведе до загуба или придобиване на статут на средно, малко или микропредприятие, освен ако тези прагове не бъдат надвишени през два последователни отчетни периода.</w:t>
      </w:r>
    </w:p>
    <w:p w:rsidR="001D6285" w:rsidRPr="001D6285" w:rsidRDefault="001D6285" w:rsidP="001D6285">
      <w:pPr>
        <w:pStyle w:val="NumPar1"/>
      </w:pPr>
      <w:r>
        <w:t>В случай на новосъздадени предприятия, чиито отчети все още не са били одобрени, данните, които трябва да бъдат взети предвид, произлизат от добросъвестна прогноза, направена в хода на финансовата година.</w:t>
      </w:r>
    </w:p>
    <w:p w:rsidR="001D6285" w:rsidRPr="001D6285" w:rsidRDefault="001D6285" w:rsidP="001D6285">
      <w:pPr>
        <w:keepNext/>
        <w:keepLines/>
        <w:autoSpaceDE w:val="0"/>
        <w:autoSpaceDN w:val="0"/>
        <w:adjustRightInd w:val="0"/>
        <w:spacing w:after="0"/>
        <w:jc w:val="center"/>
        <w:rPr>
          <w:rFonts w:ascii="Times New Roman" w:hAnsi="Times New Roman"/>
          <w:i/>
          <w:iCs/>
        </w:rPr>
      </w:pPr>
      <w:r>
        <w:rPr>
          <w:rFonts w:ascii="Times New Roman" w:hAnsi="Times New Roman"/>
          <w:i/>
        </w:rPr>
        <w:t>Член 5</w:t>
      </w:r>
    </w:p>
    <w:p w:rsidR="001D6285" w:rsidRPr="001D6285" w:rsidRDefault="001D6285" w:rsidP="001D6285">
      <w:pPr>
        <w:keepNext/>
        <w:keepLines/>
        <w:autoSpaceDE w:val="0"/>
        <w:autoSpaceDN w:val="0"/>
        <w:adjustRightInd w:val="0"/>
        <w:spacing w:after="240"/>
        <w:jc w:val="center"/>
        <w:rPr>
          <w:rFonts w:ascii="Times New Roman" w:hAnsi="Times New Roman"/>
          <w:b/>
          <w:i/>
          <w:iCs/>
        </w:rPr>
      </w:pPr>
      <w:r>
        <w:rPr>
          <w:rFonts w:ascii="Times New Roman" w:hAnsi="Times New Roman"/>
          <w:b/>
          <w:i/>
        </w:rPr>
        <w:t>Численост на персонала</w:t>
      </w:r>
    </w:p>
    <w:p w:rsidR="001D6285" w:rsidRPr="001D6285" w:rsidRDefault="001D6285" w:rsidP="001D6285">
      <w:pPr>
        <w:rPr>
          <w:rFonts w:ascii="Times New Roman" w:hAnsi="Times New Roman"/>
        </w:rPr>
      </w:pPr>
      <w:r>
        <w:rPr>
          <w:rFonts w:ascii="Times New Roman" w:hAnsi="Times New Roman"/>
        </w:rPr>
        <w:t>Числеността на персонала съответства на броя на единиците труд за една година (ЕТГ), т.е на броя лица, които са работили на пълен работен ден във въпросното предприятие или от негово име през цялата разглеждана референтна година. Работата на лица, които не са работили целогодишно, както и работата на тези, които са работили на непълен работен ден, независимо от продължителността, а също и работата на сезонните работници, се брои като процент от ЕТГ. Персоналът се състои от:</w:t>
      </w:r>
    </w:p>
    <w:p w:rsidR="001D6285" w:rsidRPr="001D6285" w:rsidRDefault="009D1687" w:rsidP="009D1687">
      <w:pPr>
        <w:pStyle w:val="Point1letter"/>
        <w:numPr>
          <w:ilvl w:val="0"/>
          <w:numId w:val="0"/>
        </w:numPr>
        <w:ind w:left="850"/>
      </w:pPr>
      <w:r>
        <w:t>и)</w:t>
      </w:r>
      <w:r>
        <w:tab/>
      </w:r>
      <w:r w:rsidR="001D6285">
        <w:t>служители;</w:t>
      </w:r>
    </w:p>
    <w:p w:rsidR="001D6285" w:rsidRPr="001D6285" w:rsidRDefault="009D1687" w:rsidP="009D1687">
      <w:pPr>
        <w:pStyle w:val="Point1letter"/>
        <w:numPr>
          <w:ilvl w:val="0"/>
          <w:numId w:val="0"/>
        </w:numPr>
        <w:ind w:left="1417" w:hanging="567"/>
      </w:pPr>
      <w:r>
        <w:t>й)</w:t>
      </w:r>
      <w:r>
        <w:tab/>
      </w:r>
      <w:r w:rsidR="001D6285">
        <w:t>лица, работещи за предприятието, подчинени на него и считани за служители съгласно националното законодателство;</w:t>
      </w:r>
    </w:p>
    <w:p w:rsidR="001D6285" w:rsidRPr="001D6285" w:rsidRDefault="009D1687" w:rsidP="009D1687">
      <w:pPr>
        <w:pStyle w:val="Point1letter"/>
        <w:numPr>
          <w:ilvl w:val="0"/>
          <w:numId w:val="0"/>
        </w:numPr>
        <w:ind w:left="850"/>
      </w:pPr>
      <w:r>
        <w:t>к)</w:t>
      </w:r>
      <w:r>
        <w:tab/>
      </w:r>
      <w:r w:rsidR="001D6285">
        <w:t>собственици, изпълняващи управителни функции;</w:t>
      </w:r>
    </w:p>
    <w:p w:rsidR="001D6285" w:rsidRPr="001D6285" w:rsidRDefault="009D1687" w:rsidP="009D1687">
      <w:pPr>
        <w:pStyle w:val="Point1letter"/>
        <w:numPr>
          <w:ilvl w:val="0"/>
          <w:numId w:val="0"/>
        </w:numPr>
        <w:ind w:left="1435" w:hanging="585"/>
      </w:pPr>
      <w:r>
        <w:lastRenderedPageBreak/>
        <w:t>л)</w:t>
      </w:r>
      <w:r>
        <w:tab/>
      </w:r>
      <w:r w:rsidR="001D6285">
        <w:t>партньори, участващи в редовната дейност на предприятието и ползващи се с финансови облаги от предприятието.</w:t>
      </w:r>
    </w:p>
    <w:p w:rsidR="001D6285" w:rsidRPr="001D6285" w:rsidRDefault="001D6285" w:rsidP="001D6285">
      <w:pPr>
        <w:rPr>
          <w:rFonts w:ascii="Times New Roman" w:hAnsi="Times New Roman"/>
        </w:rPr>
      </w:pPr>
      <w:r>
        <w:rPr>
          <w:rFonts w:ascii="Times New Roman" w:hAnsi="Times New Roman"/>
        </w:rPr>
        <w:t>Стажантите и студентите, преминаващи професионално обучение по договор за чиракуване или професионално обучение, не се включват в броя на персонала. Продължителността на отпуска по майчинство или родителския отпуск не се отчита.</w:t>
      </w:r>
    </w:p>
    <w:p w:rsidR="001D6285" w:rsidRPr="001D6285" w:rsidRDefault="001D6285" w:rsidP="001D6285">
      <w:pPr>
        <w:autoSpaceDE w:val="0"/>
        <w:autoSpaceDN w:val="0"/>
        <w:adjustRightInd w:val="0"/>
        <w:spacing w:after="0"/>
        <w:jc w:val="center"/>
        <w:rPr>
          <w:rFonts w:ascii="Times New Roman" w:hAnsi="Times New Roman"/>
          <w:i/>
          <w:iCs/>
        </w:rPr>
      </w:pPr>
      <w:r>
        <w:rPr>
          <w:rFonts w:ascii="Times New Roman" w:hAnsi="Times New Roman"/>
          <w:i/>
        </w:rPr>
        <w:t>Член 6</w:t>
      </w:r>
    </w:p>
    <w:p w:rsidR="001D6285" w:rsidRPr="001D6285" w:rsidRDefault="001D6285" w:rsidP="001D6285">
      <w:pPr>
        <w:autoSpaceDE w:val="0"/>
        <w:autoSpaceDN w:val="0"/>
        <w:adjustRightInd w:val="0"/>
        <w:spacing w:after="240"/>
        <w:jc w:val="center"/>
        <w:rPr>
          <w:rFonts w:ascii="Times New Roman" w:hAnsi="Times New Roman"/>
          <w:b/>
          <w:i/>
          <w:iCs/>
        </w:rPr>
      </w:pPr>
      <w:r>
        <w:rPr>
          <w:rFonts w:ascii="Times New Roman" w:hAnsi="Times New Roman"/>
          <w:b/>
          <w:i/>
        </w:rPr>
        <w:t>Установяване на данните за дадено предприятие</w:t>
      </w:r>
    </w:p>
    <w:p w:rsidR="001D6285" w:rsidRPr="001D6285" w:rsidRDefault="001D6285" w:rsidP="001D6285">
      <w:pPr>
        <w:pStyle w:val="NumPar1"/>
      </w:pPr>
      <w:r>
        <w:t>В случай на самостоятелно предприятие данните, включително броят на персонала, се определят единствено въз основа на счетоводните отчети на това предприятие.</w:t>
      </w:r>
    </w:p>
    <w:p w:rsidR="001D6285" w:rsidRPr="001D6285" w:rsidRDefault="001D6285" w:rsidP="001D6285">
      <w:pPr>
        <w:pStyle w:val="NumPar1"/>
      </w:pPr>
      <w:r>
        <w:t>Данните, включително числеността на персонала, за предприятие, имащо предприятия партньори или свързани предприятия, се определят въз основа на счетоводни отчети и други данни за предприятието или, ако са налице, на консолидираните отчети на предприятието, или на консолидираните отчети, в които предприятието е включено чрез консолидация. Към данните, посочени в първа алинея, се добавят данните на всяко предприятие партньор на въпросното предприятие, разположено непосредствено нагоре или надолу от него по веригата. Натрупването е пропорционално на процентния дял в капитала или в правото на глас (в зависимост от това кой от тях е по-голям). В случай на взаимно участие се прилага по-високият процент. Към данните, посочени в първа и втора алинея, се прибавят 100 % от данните на всяко предприятие, което е пряко или косвено свързано с въпросното предприятие, когато тези данни не са били вече включени чрез консолидация в счетоводните отчети.</w:t>
      </w:r>
    </w:p>
    <w:p w:rsidR="001D6285" w:rsidRPr="001D6285" w:rsidRDefault="001D6285" w:rsidP="001D6285">
      <w:pPr>
        <w:pStyle w:val="NumPar1"/>
      </w:pPr>
      <w:r>
        <w:t>За прилагането на параграф 2 данните за предприятията партньори на въпросното предприятие се извличат от счетоводните им отчети или от другите им консолидирани данни, ако има такива. Към тях се прибавят 100 % от данните на предприятия, които са свързани с тези предприятия партньори, освен ако техните счетоводни отчети вече не са били включени чрез консолидация. Отново за прилагането на параграф 2 данните за предприятията, които са свързани с въпросното предприятие, трябва да се извлекат от счетоводните им отчети или от другите им консолидирани данни, ако има такива. Към тях се прибавят пропорционално данните за всяко евентуално предприятие партньор на това свързано предприятие, разположено непосредствено нагоре или надолу от него по веригата, освен ако те не са били вече включени в консолидираните счетоводни отчети с процент, който е поне пропорционален на процента, определен съгласно параграф 2, втора алинея.</w:t>
      </w:r>
    </w:p>
    <w:p w:rsidR="001D6285" w:rsidRPr="001D6285" w:rsidRDefault="001D6285" w:rsidP="001D6285">
      <w:pPr>
        <w:pStyle w:val="NumPar1"/>
      </w:pPr>
      <w:r>
        <w:t>Когато в консолидираните счетоводни отчети не се съдържат данни за персонала на дадено предприятие, числеността на персонала му се изчислява чрез пропорционално сумиране на данните от неговите предприятия партньори и чрез прибавяне на данните от предприятията, с които въпросното предприятие е свързано.</w:t>
      </w:r>
    </w:p>
    <w:p w:rsidR="002F4E11" w:rsidRPr="001D6285" w:rsidRDefault="002F4E11" w:rsidP="001D6285">
      <w:pPr>
        <w:pStyle w:val="Annexetitre"/>
      </w:pPr>
    </w:p>
    <w:sectPr w:rsidR="002F4E11" w:rsidRPr="001D62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B9" w:rsidRDefault="00E91FB9" w:rsidP="009907E1">
      <w:pPr>
        <w:spacing w:after="0" w:line="240" w:lineRule="auto"/>
      </w:pPr>
      <w:r>
        <w:separator/>
      </w:r>
    </w:p>
  </w:endnote>
  <w:endnote w:type="continuationSeparator" w:id="0">
    <w:p w:rsidR="00E91FB9" w:rsidRDefault="00E91FB9"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E1" w:rsidRDefault="009D1687">
    <w:pPr>
      <w:pStyle w:val="Footer"/>
      <w:jc w:val="center"/>
    </w:pPr>
    <w:r>
      <w:fldChar w:fldCharType="begin"/>
    </w:r>
    <w:r>
      <w:instrText xml:space="preserve"> PAGE   \* MERGEFORMAT </w:instrText>
    </w:r>
    <w:r>
      <w:fldChar w:fldCharType="separate"/>
    </w:r>
    <w:r w:rsidR="00A60F5A">
      <w:rPr>
        <w:noProof/>
      </w:rPr>
      <w:t>2</w:t>
    </w:r>
    <w:r>
      <w:rPr>
        <w:noProof/>
      </w:rPr>
      <w:fldChar w:fldCharType="end"/>
    </w:r>
  </w:p>
  <w:p w:rsidR="009907E1" w:rsidRDefault="0099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B9" w:rsidRDefault="00E91FB9" w:rsidP="009907E1">
      <w:pPr>
        <w:spacing w:after="0" w:line="240" w:lineRule="auto"/>
      </w:pPr>
      <w:r>
        <w:separator/>
      </w:r>
    </w:p>
  </w:footnote>
  <w:footnote w:type="continuationSeparator" w:id="0">
    <w:p w:rsidR="00E91FB9" w:rsidRDefault="00E91FB9" w:rsidP="00990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907E1"/>
    <w:rsid w:val="001D6285"/>
    <w:rsid w:val="002F4E11"/>
    <w:rsid w:val="00691FA9"/>
    <w:rsid w:val="009907E1"/>
    <w:rsid w:val="009D1687"/>
    <w:rsid w:val="00A60F5A"/>
    <w:rsid w:val="00AD540C"/>
    <w:rsid w:val="00BF5F46"/>
    <w:rsid w:val="00E9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bg-BG"/>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bg-BG"/>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JACOB Christine (COMP)</cp:lastModifiedBy>
  <cp:revision>2</cp:revision>
  <dcterms:created xsi:type="dcterms:W3CDTF">2014-01-16T10:51:00Z</dcterms:created>
  <dcterms:modified xsi:type="dcterms:W3CDTF">2014-01-16T10:51:00Z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62100529</vt:i4>
  </property>
  <property fmtid="{D5CDD505-2E9C-101B-9397-08002B2CF9AE}" pid="3" name="_NewReviewCycle">
    <vt:lpwstr/>
  </property>
  <property fmtid="{D5CDD505-2E9C-101B-9397-08002B2CF9AE}" pid="4" name="_EmailSubject">
    <vt:lpwstr>Questions for the GBER procedure</vt:lpwstr>
  </property>
  <property fmtid="{D5CDD505-2E9C-101B-9397-08002B2CF9AE}" pid="5" name="_AuthorEmail">
    <vt:lpwstr>Inga.GUSSEVA@ec.europa.eu</vt:lpwstr>
  </property>
  <property fmtid="{D5CDD505-2E9C-101B-9397-08002B2CF9AE}" pid="6" name="_AuthorEmailDisplayName">
    <vt:lpwstr>GUSSEVA Inga (COMP)</vt:lpwstr>
  </property>
  <property fmtid="{D5CDD505-2E9C-101B-9397-08002B2CF9AE}" pid="7" name="_ReviewingToolsShownOnce">
    <vt:lpwstr/>
  </property>
</Properties>
</file>