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DB79A1" w:rsidRDefault="00E16F09" w:rsidP="00106470">
      <w:pPr>
        <w:pStyle w:val="Default"/>
        <w:rPr>
          <w:rFonts w:asciiTheme="majorHAnsi" w:hAnsiTheme="majorHAnsi"/>
          <w:sz w:val="20"/>
          <w:szCs w:val="20"/>
        </w:rPr>
      </w:pPr>
      <w:r w:rsidRPr="00DB79A1">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09F2D9AC" wp14:editId="44953EC7">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47B" w:rsidRPr="00E16F09" w:rsidRDefault="0069247B"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69247B" w:rsidRPr="00E16F09" w:rsidRDefault="0069247B"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69247B" w:rsidRPr="00E16F09" w:rsidRDefault="0069247B"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69247B" w:rsidRPr="00E16F09" w:rsidRDefault="0069247B"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DB79A1">
        <w:rPr>
          <w:rFonts w:asciiTheme="majorHAnsi" w:hAnsiTheme="majorHAnsi"/>
          <w:sz w:val="20"/>
          <w:szCs w:val="20"/>
        </w:rPr>
        <w:tab/>
      </w:r>
      <w:r w:rsidR="002E475B" w:rsidRPr="00DB79A1">
        <w:rPr>
          <w:rFonts w:asciiTheme="majorHAnsi" w:hAnsiTheme="majorHAnsi"/>
          <w:sz w:val="20"/>
          <w:szCs w:val="20"/>
        </w:rPr>
        <w:tab/>
      </w:r>
    </w:p>
    <w:p w:rsidR="00106470" w:rsidRPr="00DB79A1" w:rsidRDefault="00106470" w:rsidP="00106470">
      <w:pPr>
        <w:pStyle w:val="Default"/>
        <w:rPr>
          <w:rFonts w:asciiTheme="majorHAnsi" w:hAnsiTheme="majorHAnsi"/>
          <w:sz w:val="20"/>
          <w:szCs w:val="20"/>
        </w:rPr>
      </w:pPr>
    </w:p>
    <w:p w:rsidR="00106470" w:rsidRPr="00DB79A1" w:rsidRDefault="00106470" w:rsidP="00106470">
      <w:pPr>
        <w:pStyle w:val="Default"/>
        <w:rPr>
          <w:rFonts w:asciiTheme="majorHAnsi" w:hAnsiTheme="majorHAnsi"/>
          <w:sz w:val="20"/>
          <w:szCs w:val="20"/>
        </w:rPr>
      </w:pPr>
    </w:p>
    <w:p w:rsidR="00106470" w:rsidRPr="00DB79A1" w:rsidRDefault="00106470" w:rsidP="00106470">
      <w:pPr>
        <w:pStyle w:val="Default"/>
        <w:rPr>
          <w:rFonts w:asciiTheme="majorHAnsi" w:hAnsiTheme="majorHAnsi"/>
          <w:sz w:val="20"/>
          <w:szCs w:val="20"/>
        </w:rPr>
      </w:pPr>
    </w:p>
    <w:p w:rsidR="00E16F09" w:rsidRPr="004E6704" w:rsidRDefault="00106470" w:rsidP="005E5F13">
      <w:pPr>
        <w:pStyle w:val="Default"/>
        <w:jc w:val="right"/>
        <w:rPr>
          <w:rFonts w:asciiTheme="majorHAnsi" w:hAnsiTheme="majorHAnsi"/>
          <w:b/>
          <w:sz w:val="30"/>
          <w:szCs w:val="30"/>
        </w:rPr>
      </w:pPr>
      <w:r w:rsidRPr="004E6704">
        <w:rPr>
          <w:rFonts w:asciiTheme="majorHAnsi" w:hAnsiTheme="majorHAnsi"/>
          <w:b/>
          <w:sz w:val="30"/>
          <w:szCs w:val="30"/>
        </w:rPr>
        <w:t>№ 0</w:t>
      </w:r>
      <w:r w:rsidR="00E704CC">
        <w:rPr>
          <w:rFonts w:asciiTheme="majorHAnsi" w:hAnsiTheme="majorHAnsi"/>
          <w:b/>
          <w:sz w:val="30"/>
          <w:szCs w:val="30"/>
          <w:lang w:val="en-US"/>
        </w:rPr>
        <w:t>2</w:t>
      </w:r>
      <w:r w:rsidRPr="004E6704">
        <w:rPr>
          <w:rFonts w:asciiTheme="majorHAnsi" w:hAnsiTheme="majorHAnsi"/>
          <w:b/>
          <w:sz w:val="30"/>
          <w:szCs w:val="30"/>
        </w:rPr>
        <w:t>/</w:t>
      </w:r>
      <w:r w:rsidR="008B5D9B" w:rsidRPr="004E6704">
        <w:rPr>
          <w:rFonts w:asciiTheme="majorHAnsi" w:hAnsiTheme="majorHAnsi"/>
          <w:b/>
          <w:sz w:val="30"/>
          <w:szCs w:val="30"/>
        </w:rPr>
        <w:t>20</w:t>
      </w:r>
      <w:r w:rsidRPr="004E6704">
        <w:rPr>
          <w:rFonts w:asciiTheme="majorHAnsi" w:hAnsiTheme="majorHAnsi"/>
          <w:b/>
          <w:sz w:val="30"/>
          <w:szCs w:val="30"/>
        </w:rPr>
        <w:t>15</w:t>
      </w:r>
    </w:p>
    <w:p w:rsidR="00E16F09" w:rsidRPr="00DB79A1" w:rsidRDefault="00E6540F" w:rsidP="00E16F09">
      <w:pPr>
        <w:pStyle w:val="Default"/>
        <w:jc w:val="right"/>
        <w:rPr>
          <w:rFonts w:asciiTheme="majorHAnsi" w:hAnsiTheme="majorHAnsi"/>
          <w:b/>
          <w:sz w:val="20"/>
          <w:szCs w:val="20"/>
        </w:rPr>
      </w:pPr>
      <w:r>
        <w:rPr>
          <w:rFonts w:asciiTheme="majorHAnsi" w:hAnsiTheme="majorHAnsi"/>
          <w:b/>
          <w:sz w:val="20"/>
          <w:szCs w:val="20"/>
        </w:rPr>
        <w:t xml:space="preserve">за периода от </w:t>
      </w:r>
      <w:r w:rsidR="00C326BE" w:rsidRPr="00DB79A1">
        <w:rPr>
          <w:rFonts w:asciiTheme="majorHAnsi" w:hAnsiTheme="majorHAnsi"/>
          <w:b/>
          <w:sz w:val="20"/>
          <w:szCs w:val="20"/>
        </w:rPr>
        <w:t>01.0</w:t>
      </w:r>
      <w:r w:rsidR="00E704CC">
        <w:rPr>
          <w:rFonts w:asciiTheme="majorHAnsi" w:hAnsiTheme="majorHAnsi"/>
          <w:b/>
          <w:sz w:val="20"/>
          <w:szCs w:val="20"/>
          <w:lang w:val="en-US"/>
        </w:rPr>
        <w:t>8</w:t>
      </w:r>
      <w:r>
        <w:rPr>
          <w:rFonts w:asciiTheme="majorHAnsi" w:hAnsiTheme="majorHAnsi"/>
          <w:b/>
          <w:sz w:val="20"/>
          <w:szCs w:val="20"/>
        </w:rPr>
        <w:t xml:space="preserve"> до </w:t>
      </w:r>
      <w:r w:rsidR="00E44E85" w:rsidRPr="00DB79A1">
        <w:rPr>
          <w:rFonts w:asciiTheme="majorHAnsi" w:hAnsiTheme="majorHAnsi"/>
          <w:b/>
          <w:sz w:val="20"/>
          <w:szCs w:val="20"/>
        </w:rPr>
        <w:t>31.0</w:t>
      </w:r>
      <w:r w:rsidR="00E704CC">
        <w:rPr>
          <w:rFonts w:asciiTheme="majorHAnsi" w:hAnsiTheme="majorHAnsi"/>
          <w:b/>
          <w:sz w:val="20"/>
          <w:szCs w:val="20"/>
          <w:lang w:val="en-US"/>
        </w:rPr>
        <w:t>8</w:t>
      </w:r>
      <w:r w:rsidR="00C95476">
        <w:rPr>
          <w:rFonts w:asciiTheme="majorHAnsi" w:hAnsiTheme="majorHAnsi"/>
          <w:b/>
          <w:sz w:val="20"/>
          <w:szCs w:val="20"/>
          <w:lang w:val="en-US"/>
        </w:rPr>
        <w:t>.</w:t>
      </w:r>
      <w:r w:rsidR="00E16F09" w:rsidRPr="00DB79A1">
        <w:rPr>
          <w:rFonts w:asciiTheme="majorHAnsi" w:hAnsiTheme="majorHAnsi"/>
          <w:b/>
          <w:sz w:val="20"/>
          <w:szCs w:val="20"/>
        </w:rPr>
        <w:t>2015 г.</w:t>
      </w:r>
    </w:p>
    <w:p w:rsidR="002E475B" w:rsidRPr="00DB79A1" w:rsidRDefault="00E16F09" w:rsidP="002E475B">
      <w:pPr>
        <w:pStyle w:val="Default"/>
        <w:jc w:val="center"/>
        <w:rPr>
          <w:rFonts w:ascii="Cambria" w:hAnsi="Cambria" w:cs="Cambria"/>
          <w:color w:val="auto"/>
          <w:sz w:val="56"/>
          <w:szCs w:val="56"/>
        </w:rPr>
      </w:pPr>
      <w:r w:rsidRPr="00DB79A1">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2C9620FA" wp14:editId="167BD1A4">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DB79A1">
        <w:rPr>
          <w:rFonts w:ascii="Cambria" w:hAnsi="Cambria" w:cs="Cambria"/>
          <w:color w:val="auto"/>
          <w:sz w:val="56"/>
          <w:szCs w:val="56"/>
        </w:rPr>
        <w:t xml:space="preserve">Информационен </w:t>
      </w:r>
      <w:r w:rsidR="00106470" w:rsidRPr="00DB79A1">
        <w:rPr>
          <w:rFonts w:ascii="Cambria" w:hAnsi="Cambria" w:cs="Cambria"/>
          <w:color w:val="auto"/>
          <w:sz w:val="56"/>
          <w:szCs w:val="56"/>
        </w:rPr>
        <w:t xml:space="preserve">електронен </w:t>
      </w:r>
      <w:r w:rsidR="002E475B" w:rsidRPr="00DB79A1">
        <w:rPr>
          <w:rFonts w:ascii="Cambria" w:hAnsi="Cambria" w:cs="Cambria"/>
          <w:color w:val="auto"/>
          <w:sz w:val="56"/>
          <w:szCs w:val="56"/>
        </w:rPr>
        <w:t>бюлетин</w:t>
      </w:r>
      <w:r w:rsidR="001E54D3" w:rsidRPr="00DB79A1">
        <w:rPr>
          <w:rStyle w:val="FootnoteReference"/>
          <w:rFonts w:ascii="Cambria" w:hAnsi="Cambria" w:cs="Cambria"/>
          <w:color w:val="auto"/>
          <w:sz w:val="56"/>
          <w:szCs w:val="56"/>
        </w:rPr>
        <w:footnoteReference w:id="1"/>
      </w:r>
    </w:p>
    <w:p w:rsidR="002E475B" w:rsidRPr="00DB79A1" w:rsidRDefault="00A42F28" w:rsidP="002E475B">
      <w:pPr>
        <w:pStyle w:val="Default"/>
        <w:jc w:val="center"/>
        <w:rPr>
          <w:rFonts w:ascii="Cambria" w:hAnsi="Cambria" w:cs="Cambria"/>
          <w:color w:val="auto"/>
          <w:sz w:val="36"/>
          <w:szCs w:val="36"/>
        </w:rPr>
      </w:pPr>
      <w:r w:rsidRPr="00DB79A1">
        <w:rPr>
          <w:rFonts w:ascii="Cambria" w:hAnsi="Cambria" w:cs="Cambria"/>
          <w:color w:val="auto"/>
          <w:sz w:val="36"/>
          <w:szCs w:val="36"/>
        </w:rPr>
        <w:t>и</w:t>
      </w:r>
      <w:r w:rsidR="002E475B" w:rsidRPr="00DB79A1">
        <w:rPr>
          <w:rFonts w:ascii="Cambria" w:hAnsi="Cambria" w:cs="Cambria"/>
          <w:color w:val="auto"/>
          <w:sz w:val="36"/>
          <w:szCs w:val="36"/>
        </w:rPr>
        <w:t>здание за държавните помощи в Европейския съюз</w:t>
      </w:r>
      <w:r w:rsidR="00B11922" w:rsidRPr="00DB79A1">
        <w:rPr>
          <w:rFonts w:ascii="Cambria" w:hAnsi="Cambria" w:cs="Cambria"/>
          <w:color w:val="auto"/>
          <w:sz w:val="36"/>
          <w:szCs w:val="36"/>
        </w:rPr>
        <w:t xml:space="preserve"> и Република България</w:t>
      </w:r>
    </w:p>
    <w:p w:rsidR="00023FF2" w:rsidRPr="00DB79A1" w:rsidRDefault="00E16F09">
      <w:pPr>
        <w:rPr>
          <w:lang w:val="bg-BG"/>
        </w:rPr>
      </w:pPr>
      <w:r w:rsidRPr="00DB79A1">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27264A9C" wp14:editId="030907D6">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DB79A1"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DB79A1" w:rsidTr="00DB79A1">
        <w:tc>
          <w:tcPr>
            <w:tcW w:w="8363" w:type="dxa"/>
          </w:tcPr>
          <w:p w:rsidR="009B78BB" w:rsidRPr="002414F2"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2414F2">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DB79A1"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DB79A1"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9B78BB" w:rsidRPr="00DB79A1" w:rsidRDefault="009B78BB" w:rsidP="009B78BB">
            <w:pPr>
              <w:jc w:val="both"/>
              <w:rPr>
                <w:rFonts w:asciiTheme="majorHAnsi" w:hAnsiTheme="majorHAnsi"/>
                <w:sz w:val="22"/>
                <w:szCs w:val="22"/>
                <w:lang w:val="bg-BG"/>
              </w:rPr>
            </w:pPr>
            <w:r w:rsidRPr="00DB79A1">
              <w:rPr>
                <w:rFonts w:asciiTheme="majorHAnsi" w:hAnsiTheme="majorHAnsi"/>
                <w:sz w:val="22"/>
                <w:szCs w:val="22"/>
                <w:lang w:val="bg-BG"/>
              </w:rPr>
              <w:t>Няма нови публикувани нормативни актове на Европейския съюз за държавните помощи</w:t>
            </w:r>
            <w:r w:rsidR="00E704CC">
              <w:rPr>
                <w:rFonts w:asciiTheme="majorHAnsi" w:hAnsiTheme="majorHAnsi"/>
                <w:sz w:val="22"/>
                <w:szCs w:val="22"/>
                <w:lang w:val="bg-BG"/>
              </w:rPr>
              <w:t>.</w:t>
            </w:r>
          </w:p>
          <w:p w:rsidR="00EC0A34" w:rsidRPr="00DB79A1" w:rsidRDefault="00EC0A34" w:rsidP="00EC0A34">
            <w:pPr>
              <w:jc w:val="both"/>
              <w:rPr>
                <w:rFonts w:asciiTheme="majorHAnsi" w:hAnsiTheme="majorHAnsi"/>
                <w:sz w:val="22"/>
                <w:szCs w:val="22"/>
                <w:highlight w:val="yellow"/>
                <w:lang w:val="bg-BG"/>
              </w:rPr>
            </w:pPr>
          </w:p>
          <w:p w:rsidR="00EC0A34" w:rsidRPr="00DB79A1"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DB79A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DB79A1" w:rsidRDefault="00EC0A34" w:rsidP="00EC0A34">
            <w:pPr>
              <w:jc w:val="both"/>
              <w:rPr>
                <w:lang w:val="bg-BG"/>
              </w:rPr>
            </w:pPr>
            <w:r w:rsidRPr="00DB79A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2"/>
            </w:r>
            <w:r w:rsidRPr="00DB79A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DB79A1">
              <w:rPr>
                <w:lang w:val="bg-BG"/>
              </w:rPr>
              <w:t xml:space="preserve"> </w:t>
            </w:r>
          </w:p>
          <w:p w:rsidR="00EC0A34" w:rsidRPr="00DB79A1"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r w:rsid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DB79A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FC78D4" w:rsidRPr="00DB79A1" w:rsidRDefault="009B78BB" w:rsidP="009B78BB">
            <w:pPr>
              <w:jc w:val="both"/>
              <w:rPr>
                <w:rFonts w:asciiTheme="majorHAnsi" w:hAnsiTheme="majorHAnsi"/>
                <w:sz w:val="24"/>
                <w:szCs w:val="24"/>
                <w:lang w:val="bg-BG"/>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9B78BB" w:rsidRDefault="009B78BB"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E704CC" w:rsidRPr="00DB79A1" w:rsidRDefault="00E704CC" w:rsidP="00E704CC">
            <w:pPr>
              <w:jc w:val="both"/>
              <w:rPr>
                <w:rFonts w:asciiTheme="majorHAnsi" w:hAnsiTheme="majorHAnsi"/>
                <w:sz w:val="22"/>
                <w:szCs w:val="22"/>
                <w:lang w:val="bg-BG"/>
              </w:rPr>
            </w:pPr>
            <w:r w:rsidRPr="00DB79A1">
              <w:rPr>
                <w:rFonts w:asciiTheme="majorHAnsi" w:hAnsiTheme="majorHAnsi"/>
                <w:sz w:val="22"/>
                <w:szCs w:val="22"/>
                <w:lang w:val="bg-BG"/>
              </w:rPr>
              <w:t xml:space="preserve">Няма нови публикувани </w:t>
            </w:r>
            <w:r>
              <w:rPr>
                <w:rFonts w:asciiTheme="majorHAnsi" w:hAnsiTheme="majorHAnsi"/>
                <w:sz w:val="22"/>
                <w:szCs w:val="22"/>
                <w:lang w:val="bg-BG"/>
              </w:rPr>
              <w:t>консултации по проекти на</w:t>
            </w:r>
            <w:r w:rsidRPr="00DB79A1">
              <w:rPr>
                <w:rFonts w:asciiTheme="majorHAnsi" w:hAnsiTheme="majorHAnsi"/>
                <w:sz w:val="22"/>
                <w:szCs w:val="22"/>
                <w:lang w:val="bg-BG"/>
              </w:rPr>
              <w:t xml:space="preserve"> актове на Европейския съюз за държавните помощи</w:t>
            </w:r>
            <w:r>
              <w:rPr>
                <w:rFonts w:asciiTheme="majorHAnsi" w:hAnsiTheme="majorHAnsi"/>
                <w:sz w:val="22"/>
                <w:szCs w:val="22"/>
                <w:lang w:val="bg-BG"/>
              </w:rPr>
              <w:t>.</w:t>
            </w:r>
          </w:p>
          <w:p w:rsidR="007E26BF" w:rsidRPr="00E704CC" w:rsidRDefault="007E26BF" w:rsidP="007E26BF">
            <w:pPr>
              <w:jc w:val="both"/>
              <w:rPr>
                <w:rFonts w:asciiTheme="majorHAnsi" w:hAnsiTheme="majorHAnsi"/>
                <w:color w:val="FF0000"/>
                <w:sz w:val="22"/>
                <w:szCs w:val="22"/>
                <w:lang w:val="bg-BG"/>
              </w:rPr>
            </w:pPr>
          </w:p>
          <w:p w:rsidR="00D960A3" w:rsidRPr="00D960A3" w:rsidRDefault="003F532F"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960A3">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D960A3">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D960A3">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w:t>
            </w:r>
          </w:p>
          <w:p w:rsidR="00D960A3" w:rsidRPr="00277C63" w:rsidRDefault="00D960A3" w:rsidP="00277C63">
            <w:pPr>
              <w:spacing w:after="120"/>
              <w:jc w:val="both"/>
              <w:rPr>
                <w:rFonts w:asciiTheme="majorHAnsi" w:hAnsiTheme="majorHAnsi"/>
                <w:sz w:val="22"/>
                <w:szCs w:val="22"/>
                <w:lang w:val="bg-BG"/>
              </w:rPr>
            </w:pPr>
            <w:r w:rsidRPr="00277C63">
              <w:rPr>
                <w:rFonts w:asciiTheme="majorHAnsi" w:hAnsiTheme="majorHAnsi"/>
                <w:sz w:val="22"/>
                <w:szCs w:val="22"/>
                <w:lang w:val="bg-BG"/>
              </w:rPr>
              <w:t xml:space="preserve">В този период няма публикувани нови решения на Европейската комисия, тъй като </w:t>
            </w:r>
            <w:r w:rsidR="001F5EF5" w:rsidRPr="00277C63">
              <w:rPr>
                <w:rFonts w:asciiTheme="majorHAnsi" w:hAnsiTheme="majorHAnsi"/>
                <w:sz w:val="22"/>
                <w:szCs w:val="22"/>
                <w:lang w:val="bg-BG"/>
              </w:rPr>
              <w:t xml:space="preserve">през </w:t>
            </w:r>
            <w:r w:rsidRPr="00277C63">
              <w:rPr>
                <w:rFonts w:asciiTheme="majorHAnsi" w:hAnsiTheme="majorHAnsi"/>
                <w:sz w:val="22"/>
                <w:szCs w:val="22"/>
                <w:lang w:val="bg-BG"/>
              </w:rPr>
              <w:t>месец август службите на Комисията са в отпуск.</w:t>
            </w:r>
          </w:p>
          <w:p w:rsidR="00221E6C" w:rsidRDefault="00221E6C" w:rsidP="009B78BB">
            <w:pPr>
              <w:pStyle w:val="ListParagraph"/>
              <w:ind w:left="927"/>
              <w:jc w:val="both"/>
              <w:rPr>
                <w:rStyle w:val="Hyperlink"/>
                <w:rFonts w:asciiTheme="majorHAnsi" w:hAnsiTheme="majorHAnsi"/>
                <w:b/>
                <w:sz w:val="22"/>
                <w:szCs w:val="22"/>
                <w:lang w:val="bg-BG"/>
              </w:rPr>
            </w:pPr>
          </w:p>
          <w:p w:rsidR="009F6E30" w:rsidRDefault="009F6E30" w:rsidP="009F6E30">
            <w:pPr>
              <w:spacing w:after="120"/>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Отговори</w:t>
            </w:r>
            <w:r w:rsidRPr="00D960A3">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 Европейската комисия </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w:t>
            </w:r>
            <w:r w:rsidR="00FF567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интерпретационната платформа </w:t>
            </w:r>
            <w:r w:rsidR="00151C9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w:t>
            </w:r>
            <w:r w:rsidR="00FF567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въпроси и отговори </w:t>
            </w:r>
            <w:r w:rsidR="00FF567E">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ECN-ET.</w:t>
            </w:r>
          </w:p>
          <w:p w:rsidR="00FF567E" w:rsidRDefault="00FF567E" w:rsidP="00BA535B">
            <w:pPr>
              <w:spacing w:after="120"/>
              <w:jc w:val="both"/>
              <w:rPr>
                <w:rFonts w:asciiTheme="majorHAnsi" w:hAnsiTheme="majorHAnsi"/>
                <w:sz w:val="22"/>
                <w:szCs w:val="22"/>
                <w:lang w:val="bg-BG"/>
              </w:rPr>
            </w:pPr>
            <w:r w:rsidRPr="00FF567E">
              <w:rPr>
                <w:rFonts w:asciiTheme="majorHAnsi" w:hAnsiTheme="majorHAnsi"/>
                <w:sz w:val="22"/>
                <w:szCs w:val="22"/>
                <w:lang w:val="bg-BG"/>
              </w:rPr>
              <w:t xml:space="preserve">Европейската комисия </w:t>
            </w:r>
            <w:r>
              <w:rPr>
                <w:rFonts w:asciiTheme="majorHAnsi" w:hAnsiTheme="majorHAnsi"/>
                <w:sz w:val="22"/>
                <w:szCs w:val="22"/>
                <w:lang w:val="bg-BG"/>
              </w:rPr>
              <w:t>предостави отговори на въпроси, зададени от българските власти:</w:t>
            </w:r>
          </w:p>
          <w:p w:rsidR="00FF567E" w:rsidRDefault="00056277" w:rsidP="00BA535B">
            <w:pPr>
              <w:pStyle w:val="ListParagraph"/>
              <w:numPr>
                <w:ilvl w:val="0"/>
                <w:numId w:val="18"/>
              </w:numPr>
              <w:spacing w:after="60"/>
              <w:ind w:left="714" w:hanging="357"/>
              <w:jc w:val="both"/>
              <w:rPr>
                <w:rFonts w:asciiTheme="majorHAnsi" w:hAnsiTheme="majorHAnsi"/>
                <w:sz w:val="22"/>
                <w:szCs w:val="22"/>
                <w:lang w:val="bg-BG"/>
              </w:rPr>
            </w:pPr>
            <w:r>
              <w:rPr>
                <w:rFonts w:asciiTheme="majorHAnsi" w:hAnsiTheme="majorHAnsi"/>
                <w:sz w:val="22"/>
                <w:szCs w:val="22"/>
                <w:lang w:val="bg-BG"/>
              </w:rPr>
              <w:t>От страна на</w:t>
            </w:r>
            <w:r w:rsidR="00FF567E">
              <w:rPr>
                <w:rFonts w:asciiTheme="majorHAnsi" w:hAnsiTheme="majorHAnsi"/>
                <w:sz w:val="22"/>
                <w:szCs w:val="22"/>
                <w:lang w:val="bg-BG"/>
              </w:rPr>
              <w:t xml:space="preserve"> Министерство на енергетиката във връзка с Насоките за </w:t>
            </w:r>
            <w:r w:rsidR="00C5337F" w:rsidRPr="00C5337F">
              <w:rPr>
                <w:rFonts w:asciiTheme="majorHAnsi" w:hAnsiTheme="majorHAnsi"/>
                <w:sz w:val="22"/>
                <w:szCs w:val="22"/>
                <w:lang w:val="bg-BG"/>
              </w:rPr>
              <w:t>опазване на околната среда и за енергетика</w:t>
            </w:r>
            <w:r w:rsidR="00C5337F" w:rsidRPr="00C5337F">
              <w:rPr>
                <w:rFonts w:asciiTheme="majorHAnsi" w:hAnsiTheme="majorHAnsi"/>
                <w:sz w:val="22"/>
                <w:szCs w:val="22"/>
                <w:vertAlign w:val="superscript"/>
                <w:lang w:val="bg-BG"/>
              </w:rPr>
              <w:footnoteReference w:id="4"/>
            </w:r>
            <w:r w:rsidR="001F3C0D">
              <w:rPr>
                <w:rStyle w:val="FootnoteReference"/>
                <w:rFonts w:asciiTheme="majorHAnsi" w:hAnsiTheme="majorHAnsi"/>
                <w:sz w:val="22"/>
                <w:szCs w:val="22"/>
                <w:lang w:val="bg-BG"/>
              </w:rPr>
              <w:footnoteReference w:id="5"/>
            </w:r>
            <w:r w:rsidR="00080E53">
              <w:rPr>
                <w:rFonts w:asciiTheme="majorHAnsi" w:hAnsiTheme="majorHAnsi"/>
                <w:sz w:val="22"/>
                <w:szCs w:val="22"/>
                <w:lang w:val="bg-BG"/>
              </w:rPr>
              <w:t>;</w:t>
            </w:r>
            <w:r>
              <w:rPr>
                <w:rFonts w:asciiTheme="majorHAnsi" w:hAnsiTheme="majorHAnsi"/>
                <w:sz w:val="22"/>
                <w:szCs w:val="22"/>
                <w:lang w:val="bg-BG"/>
              </w:rPr>
              <w:t xml:space="preserve"> </w:t>
            </w:r>
          </w:p>
          <w:p w:rsidR="00080E53" w:rsidRDefault="00056277" w:rsidP="00BA535B">
            <w:pPr>
              <w:pStyle w:val="ListParagraph"/>
              <w:numPr>
                <w:ilvl w:val="0"/>
                <w:numId w:val="18"/>
              </w:numPr>
              <w:spacing w:after="60"/>
              <w:ind w:left="714" w:hanging="357"/>
              <w:jc w:val="both"/>
              <w:rPr>
                <w:rFonts w:asciiTheme="majorHAnsi" w:hAnsiTheme="majorHAnsi"/>
                <w:sz w:val="22"/>
                <w:szCs w:val="22"/>
                <w:lang w:val="bg-BG"/>
              </w:rPr>
            </w:pPr>
            <w:r w:rsidRPr="00080E53">
              <w:rPr>
                <w:rFonts w:asciiTheme="majorHAnsi" w:hAnsiTheme="majorHAnsi"/>
                <w:sz w:val="22"/>
                <w:szCs w:val="22"/>
                <w:lang w:val="bg-BG"/>
              </w:rPr>
              <w:t xml:space="preserve">От страна на Министерство на икономиката във връзка с интерпретацията на </w:t>
            </w:r>
            <w:r w:rsidR="00080E53" w:rsidRPr="00080E53">
              <w:rPr>
                <w:rFonts w:asciiTheme="majorHAnsi" w:hAnsiTheme="majorHAnsi"/>
                <w:sz w:val="22"/>
                <w:szCs w:val="22"/>
                <w:lang w:val="bg-BG"/>
              </w:rPr>
              <w:t xml:space="preserve">дефиницията за </w:t>
            </w:r>
            <w:r w:rsidR="001F3C0D">
              <w:rPr>
                <w:rFonts w:asciiTheme="majorHAnsi" w:hAnsiTheme="majorHAnsi"/>
                <w:sz w:val="22"/>
                <w:szCs w:val="22"/>
                <w:lang w:val="bg-BG"/>
              </w:rPr>
              <w:t>„</w:t>
            </w:r>
            <w:r w:rsidR="00080E53" w:rsidRPr="00080E53">
              <w:rPr>
                <w:rFonts w:asciiTheme="majorHAnsi" w:hAnsiTheme="majorHAnsi"/>
                <w:sz w:val="22"/>
                <w:szCs w:val="22"/>
                <w:lang w:val="bg-BG"/>
              </w:rPr>
              <w:t>предприятие в затруднено положение</w:t>
            </w:r>
            <w:r w:rsidR="001F3C0D">
              <w:rPr>
                <w:rFonts w:asciiTheme="majorHAnsi" w:hAnsiTheme="majorHAnsi"/>
                <w:sz w:val="22"/>
                <w:szCs w:val="22"/>
                <w:lang w:val="bg-BG"/>
              </w:rPr>
              <w:t>“</w:t>
            </w:r>
            <w:r w:rsidR="00080E53" w:rsidRPr="00080E53">
              <w:rPr>
                <w:rFonts w:asciiTheme="majorHAnsi" w:hAnsiTheme="majorHAnsi"/>
                <w:sz w:val="22"/>
                <w:szCs w:val="22"/>
                <w:lang w:val="bg-BG"/>
              </w:rPr>
              <w:t>,</w:t>
            </w:r>
            <w:r w:rsidR="00080E53">
              <w:rPr>
                <w:rFonts w:asciiTheme="majorHAnsi" w:hAnsiTheme="majorHAnsi"/>
                <w:sz w:val="22"/>
                <w:szCs w:val="22"/>
                <w:lang w:val="bg-BG"/>
              </w:rPr>
              <w:t xml:space="preserve"> по </w:t>
            </w:r>
            <w:r w:rsidR="001F5EF5">
              <w:rPr>
                <w:rFonts w:asciiTheme="majorHAnsi" w:hAnsiTheme="majorHAnsi"/>
                <w:sz w:val="22"/>
                <w:szCs w:val="22"/>
                <w:lang w:val="bg-BG"/>
              </w:rPr>
              <w:t xml:space="preserve">смисъла на </w:t>
            </w:r>
            <w:r w:rsidR="00080E53">
              <w:rPr>
                <w:rFonts w:asciiTheme="majorHAnsi" w:hAnsiTheme="majorHAnsi"/>
                <w:sz w:val="22"/>
                <w:szCs w:val="22"/>
                <w:lang w:val="bg-BG"/>
              </w:rPr>
              <w:t xml:space="preserve">чл. 2, </w:t>
            </w:r>
            <w:r w:rsidR="00897C0A">
              <w:rPr>
                <w:rFonts w:asciiTheme="majorHAnsi" w:hAnsiTheme="majorHAnsi"/>
                <w:sz w:val="22"/>
                <w:szCs w:val="22"/>
                <w:lang w:val="bg-BG"/>
              </w:rPr>
              <w:t>ал</w:t>
            </w:r>
            <w:r w:rsidR="00080E53">
              <w:rPr>
                <w:rFonts w:asciiTheme="majorHAnsi" w:hAnsiTheme="majorHAnsi"/>
                <w:sz w:val="22"/>
                <w:szCs w:val="22"/>
                <w:lang w:val="bg-BG"/>
              </w:rPr>
              <w:t>. 18 (а) от ОРГО</w:t>
            </w:r>
            <w:r w:rsidR="001F3C0D">
              <w:rPr>
                <w:rStyle w:val="FootnoteReference"/>
                <w:rFonts w:asciiTheme="majorHAnsi" w:hAnsiTheme="majorHAnsi"/>
                <w:sz w:val="22"/>
                <w:szCs w:val="22"/>
                <w:lang w:val="bg-BG"/>
              </w:rPr>
              <w:footnoteReference w:id="6"/>
            </w:r>
            <w:r w:rsidR="00080E53">
              <w:rPr>
                <w:rFonts w:asciiTheme="majorHAnsi" w:hAnsiTheme="majorHAnsi"/>
                <w:sz w:val="22"/>
                <w:szCs w:val="22"/>
                <w:lang w:val="bg-BG"/>
              </w:rPr>
              <w:t>;</w:t>
            </w:r>
          </w:p>
          <w:p w:rsidR="00221E6C" w:rsidRPr="00897C0A" w:rsidRDefault="00080E53" w:rsidP="00BA535B">
            <w:pPr>
              <w:pStyle w:val="ListParagraph"/>
              <w:numPr>
                <w:ilvl w:val="0"/>
                <w:numId w:val="18"/>
              </w:numPr>
              <w:spacing w:after="60"/>
              <w:ind w:left="714" w:hanging="357"/>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97C0A">
              <w:rPr>
                <w:rFonts w:asciiTheme="majorHAnsi" w:hAnsiTheme="majorHAnsi"/>
                <w:sz w:val="22"/>
                <w:szCs w:val="22"/>
                <w:lang w:val="bg-BG"/>
              </w:rPr>
              <w:lastRenderedPageBreak/>
              <w:t xml:space="preserve">От страна на Министерство на финансите във връзка с </w:t>
            </w:r>
            <w:r w:rsidR="00897C0A" w:rsidRPr="00897C0A">
              <w:rPr>
                <w:rFonts w:asciiTheme="majorHAnsi" w:hAnsiTheme="majorHAnsi"/>
                <w:sz w:val="22"/>
                <w:szCs w:val="22"/>
                <w:lang w:val="bg-BG"/>
              </w:rPr>
              <w:t>третирането на „земя</w:t>
            </w:r>
            <w:r w:rsidR="001F3C0D">
              <w:rPr>
                <w:rFonts w:asciiTheme="majorHAnsi" w:hAnsiTheme="majorHAnsi"/>
                <w:sz w:val="22"/>
                <w:szCs w:val="22"/>
                <w:lang w:val="bg-BG"/>
              </w:rPr>
              <w:t>та</w:t>
            </w:r>
            <w:r w:rsidR="00897C0A" w:rsidRPr="00897C0A">
              <w:rPr>
                <w:rFonts w:asciiTheme="majorHAnsi" w:hAnsiTheme="majorHAnsi"/>
                <w:sz w:val="22"/>
                <w:szCs w:val="22"/>
                <w:lang w:val="bg-BG"/>
              </w:rPr>
              <w:t xml:space="preserve">“ като </w:t>
            </w:r>
            <w:r w:rsidR="001F3C0D">
              <w:rPr>
                <w:rFonts w:asciiTheme="majorHAnsi" w:hAnsiTheme="majorHAnsi"/>
                <w:sz w:val="22"/>
                <w:szCs w:val="22"/>
                <w:lang w:val="bg-BG"/>
              </w:rPr>
              <w:t>„</w:t>
            </w:r>
            <w:r w:rsidR="00897C0A" w:rsidRPr="00897C0A">
              <w:rPr>
                <w:rFonts w:asciiTheme="majorHAnsi" w:hAnsiTheme="majorHAnsi"/>
                <w:sz w:val="22"/>
                <w:szCs w:val="22"/>
                <w:lang w:val="bg-BG"/>
              </w:rPr>
              <w:t>нов актив</w:t>
            </w:r>
            <w:r w:rsidR="001F3C0D">
              <w:rPr>
                <w:rFonts w:asciiTheme="majorHAnsi" w:hAnsiTheme="majorHAnsi"/>
                <w:sz w:val="22"/>
                <w:szCs w:val="22"/>
                <w:lang w:val="bg-BG"/>
              </w:rPr>
              <w:t>“</w:t>
            </w:r>
            <w:r w:rsidR="001F5EF5">
              <w:rPr>
                <w:rFonts w:asciiTheme="majorHAnsi" w:hAnsiTheme="majorHAnsi"/>
                <w:sz w:val="22"/>
                <w:szCs w:val="22"/>
                <w:lang w:val="bg-BG"/>
              </w:rPr>
              <w:t>,</w:t>
            </w:r>
            <w:r w:rsidR="00897C0A" w:rsidRPr="00897C0A">
              <w:rPr>
                <w:rFonts w:asciiTheme="majorHAnsi" w:hAnsiTheme="majorHAnsi"/>
                <w:sz w:val="22"/>
                <w:szCs w:val="22"/>
                <w:lang w:val="bg-BG"/>
              </w:rPr>
              <w:t xml:space="preserve"> по смисъла на чл. 14, ал. 6</w:t>
            </w:r>
            <w:r w:rsidR="001F5EF5">
              <w:rPr>
                <w:rFonts w:asciiTheme="majorHAnsi" w:hAnsiTheme="majorHAnsi"/>
                <w:sz w:val="22"/>
                <w:szCs w:val="22"/>
                <w:lang w:val="bg-BG"/>
              </w:rPr>
              <w:t xml:space="preserve"> и </w:t>
            </w:r>
            <w:r w:rsidR="00897C0A" w:rsidRPr="00897C0A">
              <w:rPr>
                <w:rFonts w:asciiTheme="majorHAnsi" w:hAnsiTheme="majorHAnsi"/>
                <w:sz w:val="22"/>
                <w:szCs w:val="22"/>
                <w:lang w:val="bg-BG"/>
              </w:rPr>
              <w:t xml:space="preserve">в контекста на чл. </w:t>
            </w:r>
            <w:r w:rsidR="001F3C0D">
              <w:rPr>
                <w:rFonts w:asciiTheme="majorHAnsi" w:hAnsiTheme="majorHAnsi"/>
                <w:sz w:val="22"/>
                <w:szCs w:val="22"/>
                <w:lang w:val="bg-BG"/>
              </w:rPr>
              <w:t>2, ал. 29 от ОРГО</w:t>
            </w:r>
            <w:r w:rsidR="001F3C0D">
              <w:rPr>
                <w:rStyle w:val="FootnoteReference"/>
                <w:rFonts w:asciiTheme="majorHAnsi" w:hAnsiTheme="majorHAnsi"/>
                <w:sz w:val="22"/>
                <w:szCs w:val="22"/>
                <w:lang w:val="bg-BG"/>
              </w:rPr>
              <w:footnoteReference w:id="7"/>
            </w:r>
            <w:r w:rsidR="001F3C0D">
              <w:rPr>
                <w:rFonts w:asciiTheme="majorHAnsi" w:hAnsiTheme="majorHAnsi"/>
                <w:sz w:val="22"/>
                <w:szCs w:val="22"/>
                <w:lang w:val="bg-BG"/>
              </w:rPr>
              <w:t>.</w:t>
            </w:r>
          </w:p>
          <w:p w:rsidR="009F6E30" w:rsidRPr="00DB79A1" w:rsidRDefault="009F6E30"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Default="00221E6C" w:rsidP="00021CE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новини от Европейския съюз, св</w:t>
            </w:r>
            <w:r w:rsidR="00084573"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Default="00985098" w:rsidP="009F6E30">
            <w:pPr>
              <w:spacing w:before="12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0C2648" w:rsidRPr="00021CEE" w:rsidRDefault="00F62660" w:rsidP="002414F2">
            <w:pPr>
              <w:pStyle w:val="ListParagraph"/>
              <w:numPr>
                <w:ilvl w:val="0"/>
                <w:numId w:val="12"/>
              </w:numPr>
              <w:jc w:val="both"/>
              <w:rPr>
                <w:rFonts w:asciiTheme="minorHAnsi" w:hAnsiTheme="minorHAnsi"/>
                <w:sz w:val="22"/>
                <w:szCs w:val="22"/>
                <w:lang w:val="bg-BG"/>
                <w14:props3d w14:extrusionH="57150" w14:contourW="0" w14:prstMaterial="warmMatte">
                  <w14:bevelT w14:w="38100" w14:h="38100" w14:prst="relaxedInset"/>
                </w14:props3d>
              </w:rPr>
            </w:pPr>
            <w:r w:rsidRPr="00021CEE">
              <w:rPr>
                <w:rFonts w:asciiTheme="minorHAnsi" w:hAnsiTheme="minorHAnsi"/>
                <w:b/>
                <w:sz w:val="22"/>
                <w:szCs w:val="22"/>
                <w:lang w:val="bg-BG"/>
                <w14:props3d w14:extrusionH="57150" w14:contourW="0" w14:prstMaterial="warmMatte">
                  <w14:bevelT w14:w="38100" w14:h="38100" w14:prst="relaxedInset"/>
                </w14:props3d>
              </w:rPr>
              <w:t xml:space="preserve">На 23 </w:t>
            </w:r>
            <w:r w:rsidR="00221E6C" w:rsidRPr="00021CEE">
              <w:rPr>
                <w:rFonts w:asciiTheme="minorHAnsi" w:hAnsiTheme="minorHAnsi"/>
                <w:b/>
                <w:sz w:val="22"/>
                <w:szCs w:val="22"/>
                <w:lang w:val="bg-BG"/>
                <w14:props3d w14:extrusionH="57150" w14:contourW="0" w14:prstMaterial="warmMatte">
                  <w14:bevelT w14:w="38100" w14:h="38100" w14:prst="relaxedInset"/>
                </w14:props3d>
              </w:rPr>
              <w:t xml:space="preserve"> септември в </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гр. </w:t>
            </w:r>
            <w:r w:rsidR="00221E6C" w:rsidRPr="00021CEE">
              <w:rPr>
                <w:rFonts w:asciiTheme="minorHAnsi" w:hAnsiTheme="minorHAnsi"/>
                <w:b/>
                <w:sz w:val="22"/>
                <w:szCs w:val="22"/>
                <w:lang w:val="bg-BG"/>
                <w14:props3d w14:extrusionH="57150" w14:contourW="0" w14:prstMaterial="warmMatte">
                  <w14:bevelT w14:w="38100" w14:h="38100" w14:prst="relaxedInset"/>
                </w14:props3d>
              </w:rPr>
              <w:t xml:space="preserve">Брюксел </w:t>
            </w:r>
            <w:r w:rsidRPr="00021CEE">
              <w:rPr>
                <w:rFonts w:asciiTheme="minorHAnsi" w:hAnsiTheme="minorHAnsi"/>
                <w:b/>
                <w:sz w:val="22"/>
                <w:szCs w:val="22"/>
                <w:lang w:val="bg-BG"/>
                <w14:props3d w14:extrusionH="57150" w14:contourW="0" w14:prstMaterial="warmMatte">
                  <w14:bevelT w14:w="38100" w14:h="38100" w14:prst="relaxedInset"/>
                </w14:props3d>
              </w:rPr>
              <w:t xml:space="preserve">„Lexionn“ организира </w:t>
            </w:r>
            <w:r w:rsidR="00221E6C" w:rsidRPr="00021CEE">
              <w:rPr>
                <w:rFonts w:asciiTheme="minorHAnsi" w:hAnsiTheme="minorHAnsi"/>
                <w:b/>
                <w:sz w:val="22"/>
                <w:szCs w:val="22"/>
                <w:lang w:val="bg-BG"/>
                <w14:props3d w14:extrusionH="57150" w14:contourW="0" w14:prstMaterial="warmMatte">
                  <w14:bevelT w14:w="38100" w14:h="38100" w14:prst="relaxedInset"/>
                </w14:props3d>
              </w:rPr>
              <w:t xml:space="preserve"> </w:t>
            </w:r>
            <w:r w:rsidR="0069247B" w:rsidRPr="00021CEE">
              <w:rPr>
                <w:rFonts w:asciiTheme="minorHAnsi" w:hAnsiTheme="minorHAnsi"/>
                <w:b/>
                <w:sz w:val="22"/>
                <w:szCs w:val="22"/>
                <w:lang w:val="bg-BG"/>
                <w14:props3d w14:extrusionH="57150" w14:contourW="0" w14:prstMaterial="warmMatte">
                  <w14:bevelT w14:w="38100" w14:h="38100" w14:prst="relaxedInset"/>
                </w14:props3d>
              </w:rPr>
              <w:t>К</w:t>
            </w:r>
            <w:r w:rsidR="00221E6C" w:rsidRPr="00021CEE">
              <w:rPr>
                <w:rFonts w:asciiTheme="minorHAnsi" w:hAnsiTheme="minorHAnsi"/>
                <w:b/>
                <w:sz w:val="22"/>
                <w:szCs w:val="22"/>
                <w:lang w:val="bg-BG"/>
                <w14:props3d w14:extrusionH="57150" w14:contourW="0" w14:prstMaterial="warmMatte">
                  <w14:bevelT w14:w="38100" w14:h="38100" w14:prst="relaxedInset"/>
                </w14:props3d>
              </w:rPr>
              <w:t xml:space="preserve">онференция относно </w:t>
            </w:r>
            <w:r w:rsidR="006A40AA" w:rsidRPr="00021CEE">
              <w:rPr>
                <w:rFonts w:asciiTheme="minorHAnsi" w:hAnsiTheme="minorHAnsi"/>
                <w:b/>
                <w:sz w:val="22"/>
                <w:szCs w:val="22"/>
                <w:lang w:val="bg-BG"/>
                <w14:props3d w14:extrusionH="57150" w14:contourW="0" w14:prstMaterial="warmMatte">
                  <w14:bevelT w14:w="38100" w14:h="38100" w14:prst="relaxedInset"/>
                </w14:props3d>
              </w:rPr>
              <w:t xml:space="preserve">ролята на </w:t>
            </w:r>
            <w:r w:rsidR="00221E6C" w:rsidRPr="00021CEE">
              <w:rPr>
                <w:rFonts w:asciiTheme="minorHAnsi" w:hAnsiTheme="minorHAnsi"/>
                <w:b/>
                <w:sz w:val="22"/>
                <w:szCs w:val="22"/>
                <w:lang w:val="bg-BG"/>
                <w14:props3d w14:extrusionH="57150" w14:contourW="0" w14:prstMaterial="warmMatte">
                  <w14:bevelT w14:w="38100" w14:h="38100" w14:prst="relaxedInset"/>
                </w14:props3d>
              </w:rPr>
              <w:t>икономи</w:t>
            </w:r>
            <w:r w:rsidR="000C2648" w:rsidRPr="00021CEE">
              <w:rPr>
                <w:rFonts w:asciiTheme="minorHAnsi" w:hAnsiTheme="minorHAnsi"/>
                <w:b/>
                <w:sz w:val="22"/>
                <w:szCs w:val="22"/>
                <w:lang w:val="bg-BG"/>
                <w14:props3d w14:extrusionH="57150" w14:contourW="0" w14:prstMaterial="warmMatte">
                  <w14:bevelT w14:w="38100" w14:h="38100" w14:prst="relaxedInset"/>
                </w14:props3d>
              </w:rPr>
              <w:t xml:space="preserve">ка </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при </w:t>
            </w:r>
            <w:r w:rsidR="00221E6C" w:rsidRPr="00021CEE">
              <w:rPr>
                <w:rFonts w:asciiTheme="minorHAnsi" w:hAnsiTheme="minorHAnsi"/>
                <w:b/>
                <w:sz w:val="22"/>
                <w:szCs w:val="22"/>
                <w:lang w:val="bg-BG"/>
                <w14:props3d w14:extrusionH="57150" w14:contourW="0" w14:prstMaterial="warmMatte">
                  <w14:bevelT w14:w="38100" w14:h="38100" w14:prst="relaxedInset"/>
                </w14:props3d>
              </w:rPr>
              <w:t>контрол</w:t>
            </w:r>
            <w:r w:rsidR="000C2648" w:rsidRPr="00021CEE">
              <w:rPr>
                <w:rFonts w:asciiTheme="minorHAnsi" w:hAnsiTheme="minorHAnsi"/>
                <w:b/>
                <w:sz w:val="22"/>
                <w:szCs w:val="22"/>
                <w:lang w:val="bg-BG"/>
                <w14:props3d w14:extrusionH="57150" w14:contourW="0" w14:prstMaterial="warmMatte">
                  <w14:bevelT w14:w="38100" w14:h="38100" w14:prst="relaxedInset"/>
                </w14:props3d>
              </w:rPr>
              <w:t>а</w:t>
            </w:r>
            <w:r w:rsidR="00221E6C" w:rsidRPr="00021CEE">
              <w:rPr>
                <w:rFonts w:asciiTheme="minorHAnsi" w:hAnsiTheme="minorHAnsi"/>
                <w:b/>
                <w:sz w:val="22"/>
                <w:szCs w:val="22"/>
                <w:lang w:val="bg-BG"/>
                <w14:props3d w14:extrusionH="57150" w14:contourW="0" w14:prstMaterial="warmMatte">
                  <w14:bevelT w14:w="38100" w14:h="38100" w14:prst="relaxedInset"/>
                </w14:props3d>
              </w:rPr>
              <w:t xml:space="preserve"> </w:t>
            </w:r>
            <w:r w:rsidR="000C2648" w:rsidRPr="00021CEE">
              <w:rPr>
                <w:rFonts w:asciiTheme="minorHAnsi" w:hAnsiTheme="minorHAnsi"/>
                <w:b/>
                <w:sz w:val="22"/>
                <w:szCs w:val="22"/>
                <w:lang w:val="bg-BG"/>
                <w14:props3d w14:extrusionH="57150" w14:contourW="0" w14:prstMaterial="warmMatte">
                  <w14:bevelT w14:w="38100" w14:h="38100" w14:prst="relaxedInset"/>
                </w14:props3d>
              </w:rPr>
              <w:t xml:space="preserve">на </w:t>
            </w:r>
            <w:r w:rsidR="00221E6C" w:rsidRPr="00021CEE">
              <w:rPr>
                <w:rFonts w:asciiTheme="minorHAnsi" w:hAnsiTheme="minorHAnsi"/>
                <w:b/>
                <w:sz w:val="22"/>
                <w:szCs w:val="22"/>
                <w:lang w:val="bg-BG"/>
                <w14:props3d w14:extrusionH="57150" w14:contourW="0" w14:prstMaterial="warmMatte">
                  <w14:bevelT w14:w="38100" w14:h="38100" w14:prst="relaxedInset"/>
                </w14:props3d>
              </w:rPr>
              <w:t>държавните помощи.</w:t>
            </w:r>
            <w:r w:rsidR="000C2648" w:rsidRPr="00021CEE">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8"/>
            </w:r>
            <w:r w:rsidR="00221E6C" w:rsidRPr="00021CEE">
              <w:rPr>
                <w:rFonts w:asciiTheme="minorHAnsi" w:hAnsiTheme="minorHAnsi"/>
                <w:b/>
                <w:sz w:val="22"/>
                <w:szCs w:val="22"/>
                <w:lang w:val="bg-BG"/>
                <w14:props3d w14:extrusionH="57150" w14:contourW="0" w14:prstMaterial="warmMatte">
                  <w14:bevelT w14:w="38100" w14:h="38100" w14:prst="relaxedInset"/>
                </w14:props3d>
              </w:rPr>
              <w:t xml:space="preserve"> </w:t>
            </w:r>
          </w:p>
          <w:p w:rsidR="00221E6C" w:rsidRPr="00021CEE" w:rsidRDefault="00221E6C" w:rsidP="00F81382">
            <w:pPr>
              <w:pStyle w:val="ListParagraph"/>
              <w:jc w:val="both"/>
              <w:rPr>
                <w:rFonts w:asciiTheme="minorHAnsi" w:hAnsiTheme="minorHAnsi"/>
                <w:sz w:val="22"/>
                <w:szCs w:val="22"/>
                <w:lang w:val="bg-BG"/>
                <w14:props3d w14:extrusionH="57150" w14:contourW="0" w14:prstMaterial="warmMatte">
                  <w14:bevelT w14:w="38100" w14:h="38100" w14:prst="relaxedInset"/>
                </w14:props3d>
              </w:rPr>
            </w:pPr>
            <w:r w:rsidRPr="00021CEE">
              <w:rPr>
                <w:rFonts w:asciiTheme="minorHAnsi" w:hAnsiTheme="minorHAnsi"/>
                <w:sz w:val="22"/>
                <w:szCs w:val="22"/>
                <w:lang w:val="bg-BG"/>
                <w14:props3d w14:extrusionH="57150" w14:contourW="0" w14:prstMaterial="warmMatte">
                  <w14:bevelT w14:w="38100" w14:h="38100" w14:prst="relaxedInset"/>
                </w14:props3d>
              </w:rPr>
              <w:t xml:space="preserve">Ще бъде обсъдена ролята на икономиката </w:t>
            </w:r>
            <w:r w:rsidR="0069247B" w:rsidRPr="00021CEE">
              <w:rPr>
                <w:rFonts w:asciiTheme="minorHAnsi" w:hAnsiTheme="minorHAnsi"/>
                <w:sz w:val="22"/>
                <w:szCs w:val="22"/>
                <w:lang w:val="bg-BG"/>
                <w14:props3d w14:extrusionH="57150" w14:contourW="0" w14:prstMaterial="warmMatte">
                  <w14:bevelT w14:w="38100" w14:h="38100" w14:prst="relaxedInset"/>
                </w14:props3d>
              </w:rPr>
              <w:t xml:space="preserve">при </w:t>
            </w:r>
            <w:r w:rsidRPr="00021CEE">
              <w:rPr>
                <w:rFonts w:asciiTheme="minorHAnsi" w:hAnsiTheme="minorHAnsi"/>
                <w:sz w:val="22"/>
                <w:szCs w:val="22"/>
                <w:lang w:val="bg-BG"/>
                <w14:props3d w14:extrusionH="57150" w14:contourW="0" w14:prstMaterial="warmMatte">
                  <w14:bevelT w14:w="38100" w14:h="38100" w14:prst="relaxedInset"/>
                </w14:props3d>
              </w:rPr>
              <w:t>контрола на държавните помощи, в светлината на</w:t>
            </w:r>
            <w:r w:rsidR="00FA6A64" w:rsidRPr="00021CEE">
              <w:rPr>
                <w:rFonts w:asciiTheme="minorHAnsi" w:hAnsiTheme="minorHAnsi"/>
                <w:sz w:val="22"/>
                <w:szCs w:val="22"/>
                <w:lang w:val="bg-BG"/>
                <w14:props3d w14:extrusionH="57150" w14:contourW="0" w14:prstMaterial="warmMatte">
                  <w14:bevelT w14:w="38100" w14:h="38100" w14:prst="relaxedInset"/>
                </w14:props3d>
              </w:rPr>
              <w:t xml:space="preserve"> модернизацията на режима</w:t>
            </w:r>
            <w:r w:rsidRPr="00021CEE">
              <w:rPr>
                <w:rFonts w:asciiTheme="minorHAnsi" w:hAnsiTheme="minorHAnsi"/>
                <w:sz w:val="22"/>
                <w:szCs w:val="22"/>
                <w:lang w:val="bg-BG"/>
                <w14:props3d w14:extrusionH="57150" w14:contourW="0" w14:prstMaterial="warmMatte">
                  <w14:bevelT w14:w="38100" w14:h="38100" w14:prst="relaxedInset"/>
                </w14:props3d>
              </w:rPr>
              <w:t xml:space="preserve">. Ще бъдат </w:t>
            </w:r>
            <w:r w:rsidR="000F3959" w:rsidRPr="00021CEE">
              <w:rPr>
                <w:rFonts w:asciiTheme="minorHAnsi" w:hAnsiTheme="minorHAnsi"/>
                <w:sz w:val="22"/>
                <w:szCs w:val="22"/>
                <w:lang w:val="bg-BG"/>
                <w14:props3d w14:extrusionH="57150" w14:contourW="0" w14:prstMaterial="warmMatte">
                  <w14:bevelT w14:w="38100" w14:h="38100" w14:prst="relaxedInset"/>
                </w14:props3d>
              </w:rPr>
              <w:t xml:space="preserve">представени </w:t>
            </w:r>
            <w:r w:rsidRPr="00021CEE">
              <w:rPr>
                <w:rFonts w:asciiTheme="minorHAnsi" w:hAnsiTheme="minorHAnsi"/>
                <w:sz w:val="22"/>
                <w:szCs w:val="22"/>
                <w:lang w:val="bg-BG"/>
                <w14:props3d w14:extrusionH="57150" w14:contourW="0" w14:prstMaterial="warmMatte">
                  <w14:bevelT w14:w="38100" w14:h="38100" w14:prst="relaxedInset"/>
                </w14:props3d>
              </w:rPr>
              <w:t>допирните точки между държавн</w:t>
            </w:r>
            <w:r w:rsidR="0069247B" w:rsidRPr="00021CEE">
              <w:rPr>
                <w:rFonts w:asciiTheme="minorHAnsi" w:hAnsiTheme="minorHAnsi"/>
                <w:sz w:val="22"/>
                <w:szCs w:val="22"/>
                <w:lang w:val="bg-BG"/>
                <w14:props3d w14:extrusionH="57150" w14:contourW="0" w14:prstMaterial="warmMatte">
                  <w14:bevelT w14:w="38100" w14:h="38100" w14:prst="relaxedInset"/>
                </w14:props3d>
              </w:rPr>
              <w:t>и</w:t>
            </w:r>
            <w:r w:rsidRPr="00021CEE">
              <w:rPr>
                <w:rFonts w:asciiTheme="minorHAnsi" w:hAnsiTheme="minorHAnsi"/>
                <w:sz w:val="22"/>
                <w:szCs w:val="22"/>
                <w:lang w:val="bg-BG"/>
                <w14:props3d w14:extrusionH="57150" w14:contourW="0" w14:prstMaterial="warmMatte">
                  <w14:bevelT w14:w="38100" w14:h="38100" w14:prst="relaxedInset"/>
                </w14:props3d>
              </w:rPr>
              <w:t>т</w:t>
            </w:r>
            <w:r w:rsidR="0069247B" w:rsidRPr="00021CEE">
              <w:rPr>
                <w:rFonts w:asciiTheme="minorHAnsi" w:hAnsiTheme="minorHAnsi"/>
                <w:sz w:val="22"/>
                <w:szCs w:val="22"/>
                <w:lang w:val="bg-BG"/>
                <w14:props3d w14:extrusionH="57150" w14:contourW="0" w14:prstMaterial="warmMatte">
                  <w14:bevelT w14:w="38100" w14:h="38100" w14:prst="relaxedInset"/>
                </w14:props3d>
              </w:rPr>
              <w:t>е</w:t>
            </w:r>
            <w:r w:rsidRPr="00021CEE">
              <w:rPr>
                <w:rFonts w:asciiTheme="minorHAnsi" w:hAnsiTheme="minorHAnsi"/>
                <w:sz w:val="22"/>
                <w:szCs w:val="22"/>
                <w:lang w:val="bg-BG"/>
                <w14:props3d w14:extrusionH="57150" w14:contourW="0" w14:prstMaterial="warmMatte">
                  <w14:bevelT w14:w="38100" w14:h="38100" w14:prst="relaxedInset"/>
                </w14:props3d>
              </w:rPr>
              <w:t xml:space="preserve"> помощ</w:t>
            </w:r>
            <w:r w:rsidR="0069247B" w:rsidRPr="00021CEE">
              <w:rPr>
                <w:rFonts w:asciiTheme="minorHAnsi" w:hAnsiTheme="minorHAnsi"/>
                <w:sz w:val="22"/>
                <w:szCs w:val="22"/>
                <w:lang w:val="bg-BG"/>
                <w14:props3d w14:extrusionH="57150" w14:contourW="0" w14:prstMaterial="warmMatte">
                  <w14:bevelT w14:w="38100" w14:h="38100" w14:prst="relaxedInset"/>
                </w14:props3d>
              </w:rPr>
              <w:t>и</w:t>
            </w:r>
            <w:r w:rsidRPr="00021CEE">
              <w:rPr>
                <w:rFonts w:asciiTheme="minorHAnsi" w:hAnsiTheme="minorHAnsi"/>
                <w:sz w:val="22"/>
                <w:szCs w:val="22"/>
                <w:lang w:val="bg-BG"/>
                <w14:props3d w14:extrusionH="57150" w14:contourW="0" w14:prstMaterial="warmMatte">
                  <w14:bevelT w14:w="38100" w14:h="38100" w14:prst="relaxedInset"/>
                </w14:props3d>
              </w:rPr>
              <w:t xml:space="preserve"> и правото.</w:t>
            </w:r>
          </w:p>
          <w:p w:rsidR="002414F2" w:rsidRPr="00021CEE" w:rsidRDefault="002414F2" w:rsidP="00F81382">
            <w:pPr>
              <w:pStyle w:val="ListParagraph"/>
              <w:jc w:val="both"/>
              <w:rPr>
                <w:rFonts w:asciiTheme="minorHAnsi" w:hAnsiTheme="minorHAnsi"/>
                <w:sz w:val="22"/>
                <w:szCs w:val="22"/>
                <w:lang w:val="bg-BG"/>
                <w14:props3d w14:extrusionH="57150" w14:contourW="0" w14:prstMaterial="warmMatte">
                  <w14:bevelT w14:w="38100" w14:h="38100" w14:prst="relaxedInset"/>
                </w14:props3d>
              </w:rPr>
            </w:pPr>
          </w:p>
          <w:p w:rsidR="00237BB3" w:rsidRPr="00021CEE" w:rsidRDefault="00F81382" w:rsidP="00F81382">
            <w:pPr>
              <w:pStyle w:val="ListParagraph"/>
              <w:numPr>
                <w:ilvl w:val="0"/>
                <w:numId w:val="12"/>
              </w:numPr>
              <w:jc w:val="both"/>
              <w:rPr>
                <w:rFonts w:asciiTheme="minorHAnsi" w:hAnsiTheme="minorHAnsi"/>
                <w:sz w:val="22"/>
                <w:szCs w:val="22"/>
                <w:lang w:val="bg-BG"/>
                <w14:props3d w14:extrusionH="57150" w14:contourW="0" w14:prstMaterial="warmMatte">
                  <w14:bevelT w14:w="38100" w14:h="38100" w14:prst="relaxedInset"/>
                </w14:props3d>
              </w:rPr>
            </w:pPr>
            <w:r w:rsidRPr="00021CEE">
              <w:rPr>
                <w:rFonts w:asciiTheme="minorHAnsi" w:hAnsiTheme="minorHAnsi"/>
                <w:b/>
                <w:sz w:val="22"/>
                <w:szCs w:val="22"/>
                <w:lang w:val="bg-BG"/>
                <w14:props3d w14:extrusionH="57150" w14:contourW="0" w14:prstMaterial="warmMatte">
                  <w14:bevelT w14:w="38100" w14:h="38100" w14:prst="relaxedInset"/>
                </w14:props3d>
              </w:rPr>
              <w:t xml:space="preserve">На 28 и 29 септември в </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гр. </w:t>
            </w:r>
            <w:r w:rsidRPr="00021CEE">
              <w:rPr>
                <w:rFonts w:asciiTheme="minorHAnsi" w:hAnsiTheme="minorHAnsi"/>
                <w:b/>
                <w:sz w:val="22"/>
                <w:szCs w:val="22"/>
                <w:lang w:val="bg-BG"/>
                <w14:props3d w14:extrusionH="57150" w14:contourW="0" w14:prstMaterial="warmMatte">
                  <w14:bevelT w14:w="38100" w14:h="38100" w14:prst="relaxedInset"/>
                </w14:props3d>
              </w:rPr>
              <w:t xml:space="preserve">Берлин </w:t>
            </w:r>
            <w:r w:rsidR="0069247B" w:rsidRPr="00021CEE">
              <w:rPr>
                <w:rFonts w:asciiTheme="minorHAnsi" w:hAnsiTheme="minorHAnsi"/>
                <w:b/>
                <w:sz w:val="22"/>
                <w:szCs w:val="22"/>
                <w:lang w:val="bg-BG"/>
                <w14:props3d w14:extrusionH="57150" w14:contourW="0" w14:prstMaterial="warmMatte">
                  <w14:bevelT w14:w="38100" w14:h="38100" w14:prst="relaxedInset"/>
                </w14:props3d>
              </w:rPr>
              <w:t>„</w:t>
            </w:r>
            <w:r w:rsidR="000A611B" w:rsidRPr="00021CEE">
              <w:rPr>
                <w:rFonts w:asciiTheme="minorHAnsi" w:hAnsiTheme="minorHAnsi"/>
                <w:b/>
                <w:sz w:val="22"/>
                <w:szCs w:val="22"/>
                <w:lang w:val="bg-BG"/>
                <w14:props3d w14:extrusionH="57150" w14:contourW="0" w14:prstMaterial="warmMatte">
                  <w14:bevelT w14:w="38100" w14:h="38100" w14:prst="relaxedInset"/>
                </w14:props3d>
              </w:rPr>
              <w:t>Европейската академия за данъци, икономика и право</w:t>
            </w:r>
            <w:r w:rsidR="0069247B" w:rsidRPr="00021CEE">
              <w:rPr>
                <w:rFonts w:asciiTheme="minorHAnsi" w:hAnsiTheme="minorHAnsi"/>
                <w:b/>
                <w:sz w:val="22"/>
                <w:szCs w:val="22"/>
                <w:lang w:val="bg-BG"/>
                <w14:props3d w14:extrusionH="57150" w14:contourW="0" w14:prstMaterial="warmMatte">
                  <w14:bevelT w14:w="38100" w14:h="38100" w14:prst="relaxedInset"/>
                </w14:props3d>
              </w:rPr>
              <w:t>“</w:t>
            </w:r>
            <w:r w:rsidR="000A611B" w:rsidRPr="00021CEE">
              <w:rPr>
                <w:rFonts w:asciiTheme="minorHAnsi" w:hAnsiTheme="minorHAnsi"/>
                <w:b/>
                <w:sz w:val="22"/>
                <w:szCs w:val="22"/>
                <w:lang w:val="bg-BG"/>
                <w14:props3d w14:extrusionH="57150" w14:contourW="0" w14:prstMaterial="warmMatte">
                  <w14:bevelT w14:w="38100" w14:h="38100" w14:prst="relaxedInset"/>
                </w14:props3d>
              </w:rPr>
              <w:t xml:space="preserve"> ще проведе </w:t>
            </w:r>
            <w:r w:rsidR="0069247B" w:rsidRPr="00021CEE">
              <w:rPr>
                <w:rFonts w:asciiTheme="minorHAnsi" w:hAnsiTheme="minorHAnsi"/>
                <w:b/>
                <w:sz w:val="22"/>
                <w:szCs w:val="22"/>
                <w:lang w:val="bg-BG"/>
                <w14:props3d w14:extrusionH="57150" w14:contourW="0" w14:prstMaterial="warmMatte">
                  <w14:bevelT w14:w="38100" w14:h="38100" w14:prst="relaxedInset"/>
                </w14:props3d>
              </w:rPr>
              <w:t>С</w:t>
            </w:r>
            <w:r w:rsidR="000A611B" w:rsidRPr="00021CEE">
              <w:rPr>
                <w:rFonts w:asciiTheme="minorHAnsi" w:hAnsiTheme="minorHAnsi"/>
                <w:b/>
                <w:sz w:val="22"/>
                <w:szCs w:val="22"/>
                <w:lang w:val="bg-BG"/>
                <w14:props3d w14:extrusionH="57150" w14:contourW="0" w14:prstMaterial="warmMatte">
                  <w14:bevelT w14:w="38100" w14:h="38100" w14:prst="relaxedInset"/>
                </w14:props3d>
              </w:rPr>
              <w:t>еминар</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 за финансиране от ЕС </w:t>
            </w:r>
            <w:r w:rsidR="002414F2" w:rsidRPr="00021CEE">
              <w:rPr>
                <w:rFonts w:asciiTheme="minorHAnsi" w:hAnsiTheme="minorHAnsi"/>
                <w:b/>
                <w:sz w:val="22"/>
                <w:szCs w:val="22"/>
                <w:lang w:val="bg-BG"/>
                <w14:props3d w14:extrusionH="57150" w14:contourW="0" w14:prstMaterial="warmMatte">
                  <w14:bevelT w14:w="38100" w14:h="38100" w14:prst="relaxedInset"/>
                </w14:props3d>
              </w:rPr>
              <w:t>з</w:t>
            </w:r>
            <w:r w:rsidR="000A611B" w:rsidRPr="00021CEE">
              <w:rPr>
                <w:rFonts w:asciiTheme="minorHAnsi" w:hAnsiTheme="minorHAnsi"/>
                <w:b/>
                <w:sz w:val="22"/>
                <w:szCs w:val="22"/>
                <w:lang w:val="bg-BG"/>
                <w14:props3d w14:extrusionH="57150" w14:contourW="0" w14:prstMaterial="warmMatte">
                  <w14:bevelT w14:w="38100" w14:h="38100" w14:prst="relaxedInset"/>
                </w14:props3d>
              </w:rPr>
              <w:t xml:space="preserve">а широколентова инфраструктура в </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програмния </w:t>
            </w:r>
            <w:r w:rsidR="000A611B" w:rsidRPr="00021CEE">
              <w:rPr>
                <w:rFonts w:asciiTheme="minorHAnsi" w:hAnsiTheme="minorHAnsi"/>
                <w:b/>
                <w:sz w:val="22"/>
                <w:szCs w:val="22"/>
                <w:lang w:val="bg-BG"/>
                <w14:props3d w14:extrusionH="57150" w14:contourW="0" w14:prstMaterial="warmMatte">
                  <w14:bevelT w14:w="38100" w14:h="38100" w14:prst="relaxedInset"/>
                </w14:props3d>
              </w:rPr>
              <w:t>период 2014-2020</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 </w:t>
            </w:r>
            <w:r w:rsidR="000A611B" w:rsidRPr="00021CEE">
              <w:rPr>
                <w:rFonts w:asciiTheme="minorHAnsi" w:hAnsiTheme="minorHAnsi"/>
                <w:b/>
                <w:sz w:val="22"/>
                <w:szCs w:val="22"/>
                <w:lang w:val="bg-BG"/>
                <w14:props3d w14:extrusionH="57150" w14:contourW="0" w14:prstMaterial="warmMatte">
                  <w14:bevelT w14:w="38100" w14:h="38100" w14:prst="relaxedInset"/>
                </w14:props3d>
              </w:rPr>
              <w:t>г</w:t>
            </w:r>
            <w:r w:rsidR="000A611B" w:rsidRPr="00021CEE">
              <w:rPr>
                <w:rFonts w:asciiTheme="minorHAnsi" w:hAnsiTheme="minorHAnsi"/>
                <w:sz w:val="22"/>
                <w:szCs w:val="22"/>
                <w:lang w:val="bg-BG"/>
                <w14:props3d w14:extrusionH="57150" w14:contourW="0" w14:prstMaterial="warmMatte">
                  <w14:bevelT w14:w="38100" w14:h="38100" w14:prst="relaxedInset"/>
                </w14:props3d>
              </w:rPr>
              <w:t>.</w:t>
            </w:r>
            <w:r w:rsidR="000A611B" w:rsidRPr="00021CEE">
              <w:rPr>
                <w:rStyle w:val="FootnoteReference"/>
                <w:rFonts w:asciiTheme="minorHAnsi" w:hAnsiTheme="minorHAnsi"/>
                <w:sz w:val="22"/>
                <w:szCs w:val="22"/>
                <w:lang w:val="bg-BG"/>
                <w14:props3d w14:extrusionH="57150" w14:contourW="0" w14:prstMaterial="warmMatte">
                  <w14:bevelT w14:w="38100" w14:h="38100" w14:prst="relaxedInset"/>
                </w14:props3d>
              </w:rPr>
              <w:footnoteReference w:id="9"/>
            </w:r>
          </w:p>
          <w:p w:rsidR="00237BB3" w:rsidRPr="00021CEE" w:rsidRDefault="00237BB3" w:rsidP="00F81382">
            <w:pPr>
              <w:jc w:val="both"/>
              <w:rPr>
                <w:rFonts w:asciiTheme="minorHAnsi" w:hAnsiTheme="minorHAnsi"/>
                <w:b/>
                <w:sz w:val="22"/>
                <w:szCs w:val="22"/>
                <w:lang w:val="bg-BG"/>
                <w14:props3d w14:extrusionH="57150" w14:contourW="0" w14:prstMaterial="warmMatte">
                  <w14:bevelT w14:w="38100" w14:h="38100" w14:prst="relaxedInset"/>
                </w14:props3d>
              </w:rPr>
            </w:pPr>
          </w:p>
          <w:p w:rsidR="00237BB3" w:rsidRPr="00105FEA" w:rsidRDefault="00416881" w:rsidP="00416881">
            <w:pPr>
              <w:pStyle w:val="ListParagraph"/>
              <w:numPr>
                <w:ilvl w:val="0"/>
                <w:numId w:val="12"/>
              </w:numPr>
              <w:jc w:val="both"/>
              <w:rPr>
                <w:rFonts w:asciiTheme="minorHAnsi" w:hAnsiTheme="minorHAnsi"/>
                <w:b/>
                <w:sz w:val="22"/>
                <w:szCs w:val="22"/>
                <w:lang w:val="bg-BG"/>
                <w14:props3d w14:extrusionH="57150" w14:contourW="0" w14:prstMaterial="warmMatte">
                  <w14:bevelT w14:w="38100" w14:h="38100" w14:prst="relaxedInset"/>
                </w14:props3d>
              </w:rPr>
            </w:pPr>
            <w:r w:rsidRPr="00021CEE">
              <w:rPr>
                <w:rFonts w:asciiTheme="minorHAnsi" w:hAnsiTheme="minorHAnsi"/>
                <w:b/>
                <w:sz w:val="22"/>
                <w:szCs w:val="22"/>
                <w:lang w:val="bg-BG"/>
                <w14:props3d w14:extrusionH="57150" w14:contourW="0" w14:prstMaterial="warmMatte">
                  <w14:bevelT w14:w="38100" w14:h="38100" w14:prst="relaxedInset"/>
                </w14:props3d>
              </w:rPr>
              <w:t xml:space="preserve">На 28 и 29 септември в </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гр. </w:t>
            </w:r>
            <w:r w:rsidRPr="00021CEE">
              <w:rPr>
                <w:rFonts w:asciiTheme="minorHAnsi" w:hAnsiTheme="minorHAnsi"/>
                <w:b/>
                <w:sz w:val="22"/>
                <w:szCs w:val="22"/>
                <w:lang w:val="bg-BG"/>
                <w14:props3d w14:extrusionH="57150" w14:contourW="0" w14:prstMaterial="warmMatte">
                  <w14:bevelT w14:w="38100" w14:h="38100" w14:prst="relaxedInset"/>
                </w14:props3d>
              </w:rPr>
              <w:t>Шпайер, Германия, германският университет по административни науки ще проведе семинар по повод седмата годишна конференция</w:t>
            </w:r>
            <w:r w:rsidR="0069247B" w:rsidRPr="00021CEE">
              <w:rPr>
                <w:rFonts w:asciiTheme="minorHAnsi" w:hAnsiTheme="minorHAnsi"/>
                <w:b/>
                <w:sz w:val="22"/>
                <w:szCs w:val="22"/>
                <w:lang w:val="bg-BG"/>
                <w14:props3d w14:extrusionH="57150" w14:contourW="0" w14:prstMaterial="warmMatte">
                  <w14:bevelT w14:w="38100" w14:h="38100" w14:prst="relaxedInset"/>
                </w14:props3d>
              </w:rPr>
              <w:t xml:space="preserve"> по право по</w:t>
            </w:r>
            <w:r w:rsidR="002414F2" w:rsidRPr="00021CEE">
              <w:rPr>
                <w:rFonts w:asciiTheme="minorHAnsi" w:hAnsiTheme="minorHAnsi"/>
                <w:b/>
                <w:sz w:val="22"/>
                <w:szCs w:val="22"/>
                <w:lang w:val="bg-BG"/>
                <w14:props3d w14:extrusionH="57150" w14:contourW="0" w14:prstMaterial="warmMatte">
                  <w14:bevelT w14:w="38100" w14:h="38100" w14:prst="relaxedInset"/>
                </w14:props3d>
              </w:rPr>
              <w:t xml:space="preserve"> </w:t>
            </w:r>
            <w:r w:rsidRPr="00021CEE">
              <w:rPr>
                <w:rFonts w:asciiTheme="minorHAnsi" w:hAnsiTheme="minorHAnsi"/>
                <w:b/>
                <w:sz w:val="22"/>
                <w:szCs w:val="22"/>
                <w:lang w:val="bg-BG"/>
                <w14:props3d w14:extrusionH="57150" w14:contourW="0" w14:prstMaterial="warmMatte">
                  <w14:bevelT w14:w="38100" w14:h="38100" w14:prst="relaxedInset"/>
                </w14:props3d>
              </w:rPr>
              <w:t>държавните помощи</w:t>
            </w:r>
            <w:r w:rsidRPr="00021CEE">
              <w:rPr>
                <w:rFonts w:asciiTheme="minorHAnsi" w:hAnsiTheme="minorHAnsi"/>
                <w:sz w:val="22"/>
                <w:szCs w:val="22"/>
                <w:lang w:val="bg-BG"/>
                <w14:props3d w14:extrusionH="57150" w14:contourW="0" w14:prstMaterial="warmMatte">
                  <w14:bevelT w14:w="38100" w14:h="38100" w14:prst="relaxedInset"/>
                </w14:props3d>
              </w:rPr>
              <w:t>.</w:t>
            </w:r>
            <w:r w:rsidRPr="00021CEE">
              <w:rPr>
                <w:rStyle w:val="FootnoteReference"/>
                <w:rFonts w:asciiTheme="minorHAnsi" w:hAnsiTheme="minorHAnsi"/>
                <w:sz w:val="22"/>
                <w:szCs w:val="22"/>
                <w:lang w:val="bg-BG"/>
                <w14:props3d w14:extrusionH="57150" w14:contourW="0" w14:prstMaterial="warmMatte">
                  <w14:bevelT w14:w="38100" w14:h="38100" w14:prst="relaxedInset"/>
                </w14:props3d>
              </w:rPr>
              <w:footnoteReference w:id="10"/>
            </w:r>
          </w:p>
          <w:p w:rsidR="00105FEA" w:rsidRPr="00105FEA" w:rsidRDefault="00105FEA" w:rsidP="00105FEA">
            <w:pPr>
              <w:pStyle w:val="ListParagraph"/>
              <w:rPr>
                <w:rFonts w:asciiTheme="minorHAnsi" w:hAnsiTheme="minorHAnsi"/>
                <w:b/>
                <w:sz w:val="22"/>
                <w:szCs w:val="22"/>
                <w:lang w:val="bg-BG"/>
                <w14:props3d w14:extrusionH="57150" w14:contourW="0" w14:prstMaterial="warmMatte">
                  <w14:bevelT w14:w="38100" w14:h="38100" w14:prst="relaxedInset"/>
                </w14:props3d>
              </w:rPr>
            </w:pPr>
          </w:p>
          <w:p w:rsidR="007E26BF" w:rsidRPr="00105FEA" w:rsidRDefault="00105FEA" w:rsidP="00105FEA">
            <w:pPr>
              <w:pStyle w:val="ListParagraph"/>
              <w:numPr>
                <w:ilvl w:val="0"/>
                <w:numId w:val="12"/>
              </w:numPr>
              <w:jc w:val="both"/>
              <w:rPr>
                <w:rFonts w:asciiTheme="minorHAnsi" w:hAnsiTheme="minorHAnsi"/>
                <w:b/>
                <w:sz w:val="22"/>
                <w:szCs w:val="22"/>
                <w:lang w:val="bg-BG"/>
                <w14:props3d w14:extrusionH="57150" w14:contourW="0" w14:prstMaterial="warmMatte">
                  <w14:bevelT w14:w="38100" w14:h="38100" w14:prst="relaxedInset"/>
                </w14:props3d>
              </w:rPr>
            </w:pPr>
            <w:r w:rsidRPr="00105FEA">
              <w:rPr>
                <w:rFonts w:asciiTheme="minorHAnsi" w:hAnsiTheme="minorHAnsi"/>
                <w:b/>
                <w:sz w:val="22"/>
                <w:szCs w:val="22"/>
                <w:lang w:val="bg-BG"/>
                <w14:props3d w14:extrusionH="57150" w14:contourW="0" w14:prstMaterial="warmMatte">
                  <w14:bevelT w14:w="38100" w14:h="38100" w14:prst="relaxedInset"/>
                </w14:props3d>
              </w:rPr>
              <w:t>На 22 и 23 октомври в гр.Загреб</w:t>
            </w:r>
            <w:r w:rsidR="00413441">
              <w:rPr>
                <w:rFonts w:asciiTheme="minorHAnsi" w:hAnsiTheme="minorHAnsi"/>
                <w:b/>
                <w:sz w:val="22"/>
                <w:szCs w:val="22"/>
                <w:lang w:val="bg-BG"/>
                <w14:props3d w14:extrusionH="57150" w14:contourW="0" w14:prstMaterial="warmMatte">
                  <w14:bevelT w14:w="38100" w14:h="38100" w14:prst="relaxedInset"/>
                </w14:props3d>
              </w:rPr>
              <w:t xml:space="preserve">, Хърватия, Lexxion ще проведе </w:t>
            </w:r>
            <w:r w:rsidR="00413441">
              <w:rPr>
                <w:rFonts w:asciiTheme="minorHAnsi" w:hAnsiTheme="minorHAnsi"/>
                <w:b/>
                <w:sz w:val="22"/>
                <w:szCs w:val="22"/>
                <w:lang w:val="en-US"/>
                <w14:props3d w14:extrusionH="57150" w14:contourW="0" w14:prstMaterial="warmMatte">
                  <w14:bevelT w14:w="38100" w14:h="38100" w14:prst="relaxedInset"/>
                </w14:props3d>
              </w:rPr>
              <w:t>E</w:t>
            </w:r>
            <w:r w:rsidRPr="00105FEA">
              <w:rPr>
                <w:rFonts w:asciiTheme="minorHAnsi" w:hAnsiTheme="minorHAnsi"/>
                <w:b/>
                <w:sz w:val="22"/>
                <w:szCs w:val="22"/>
                <w:lang w:val="bg-BG"/>
                <w14:props3d w14:extrusionH="57150" w14:contourW="0" w14:prstMaterial="warmMatte">
                  <w14:bevelT w14:w="38100" w14:h="38100" w14:prst="relaxedInset"/>
                </w14:props3d>
              </w:rPr>
              <w:t>вропейска  конференция, посветена на държавните помощи и европейските структурни и инвестиционни фондове.</w:t>
            </w:r>
            <w:r>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11"/>
            </w:r>
          </w:p>
          <w:p w:rsidR="00D960A3" w:rsidRDefault="00D960A3" w:rsidP="00D960A3">
            <w:pPr>
              <w:pStyle w:val="Default"/>
              <w:jc w:val="both"/>
              <w:rPr>
                <w:sz w:val="16"/>
                <w:szCs w:val="16"/>
              </w:rPr>
            </w:pPr>
          </w:p>
          <w:p w:rsidR="001F5EF5" w:rsidRPr="00B97854" w:rsidRDefault="00DE42A3" w:rsidP="00DE42A3">
            <w:pPr>
              <w:spacing w:before="12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B97854">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w:t>
            </w:r>
            <w:r w:rsidR="009701F4" w:rsidRPr="00B97854">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(от предходни периоди)</w:t>
            </w:r>
          </w:p>
          <w:p w:rsidR="009701F4" w:rsidRPr="00B97854" w:rsidRDefault="009701F4" w:rsidP="009701F4">
            <w:pPr>
              <w:pStyle w:val="ListParagraph"/>
              <w:numPr>
                <w:ilvl w:val="0"/>
                <w:numId w:val="12"/>
              </w:numPr>
              <w:jc w:val="both"/>
              <w:rPr>
                <w:rFonts w:asciiTheme="majorHAnsi" w:hAnsiTheme="majorHAnsi"/>
                <w:b/>
                <w:sz w:val="22"/>
                <w:szCs w:val="22"/>
                <w:lang w:val="bg-BG"/>
              </w:rPr>
            </w:pPr>
            <w:r w:rsidRPr="00B97854">
              <w:rPr>
                <w:rFonts w:asciiTheme="majorHAnsi" w:hAnsiTheme="majorHAnsi"/>
                <w:b/>
                <w:sz w:val="22"/>
                <w:szCs w:val="22"/>
                <w:lang w:val="bg-BG"/>
              </w:rPr>
              <w:t xml:space="preserve">JASPERS е изготвил </w:t>
            </w:r>
            <w:r w:rsidRPr="00B97854">
              <w:rPr>
                <w:rFonts w:asciiTheme="majorHAnsi" w:hAnsiTheme="majorHAnsi"/>
                <w:b/>
                <w:sz w:val="22"/>
                <w:szCs w:val="22"/>
                <w:lang w:val="bg-BG"/>
                <w14:props3d w14:extrusionH="57150" w14:contourW="0" w14:prstMaterial="warmMatte">
                  <w14:bevelT w14:w="38100" w14:h="38100" w14:prst="relaxedInset"/>
                </w14:props3d>
              </w:rPr>
              <w:t>работен</w:t>
            </w:r>
            <w:r w:rsidRPr="00B97854">
              <w:rPr>
                <w:rFonts w:asciiTheme="majorHAnsi" w:hAnsiTheme="majorHAnsi"/>
                <w:b/>
                <w:sz w:val="22"/>
                <w:szCs w:val="22"/>
                <w:lang w:val="bg-BG"/>
              </w:rPr>
              <w:t xml:space="preserve"> документ, имащ за цел да подпомогне неговите експерти при определяне на обхвата на проектите и приложимите критерии и методология, по отношение на законодателството по държавните помощи в областта на културата и опазването на културното наследство.</w:t>
            </w:r>
          </w:p>
          <w:p w:rsidR="009701F4" w:rsidRPr="00B97854" w:rsidRDefault="009701F4" w:rsidP="009701F4">
            <w:pPr>
              <w:pStyle w:val="ListParagraph"/>
              <w:jc w:val="both"/>
              <w:rPr>
                <w:rFonts w:asciiTheme="majorHAnsi" w:hAnsiTheme="majorHAnsi"/>
                <w:sz w:val="22"/>
                <w:szCs w:val="22"/>
                <w:lang w:val="bg-BG"/>
              </w:rPr>
            </w:pPr>
            <w:r w:rsidRPr="00B97854">
              <w:rPr>
                <w:rFonts w:asciiTheme="majorHAnsi" w:hAnsiTheme="majorHAnsi"/>
                <w:sz w:val="22"/>
                <w:szCs w:val="22"/>
                <w:lang w:val="bg-BG"/>
              </w:rPr>
              <w:t>В материала се прави преглед на решения на ЕК, свързани с оценка, в контекста на член 107 от Договора за функционирането на Европейския съюз, на мерки за културна инфраструктура и опазване на културното наследство, както и на условията, при които в случай, че е налице държавна помощ, същата би могла да се счита за съвместима</w:t>
            </w:r>
            <w:r w:rsidRPr="00B97854">
              <w:rPr>
                <w:rStyle w:val="FootnoteReference"/>
                <w:rFonts w:asciiTheme="majorHAnsi" w:hAnsiTheme="majorHAnsi"/>
                <w:sz w:val="22"/>
                <w:szCs w:val="22"/>
                <w:lang w:val="bg-BG"/>
              </w:rPr>
              <w:footnoteReference w:id="12"/>
            </w:r>
            <w:r w:rsidRPr="00B97854">
              <w:rPr>
                <w:rFonts w:asciiTheme="majorHAnsi" w:hAnsiTheme="majorHAnsi"/>
                <w:sz w:val="22"/>
                <w:szCs w:val="22"/>
                <w:lang w:val="bg-BG"/>
              </w:rPr>
              <w:t>.</w:t>
            </w:r>
          </w:p>
          <w:p w:rsidR="009701F4" w:rsidRPr="00B97854" w:rsidRDefault="009701F4" w:rsidP="009701F4">
            <w:pPr>
              <w:pStyle w:val="ListParagraph"/>
              <w:jc w:val="both"/>
              <w:rPr>
                <w:rFonts w:asciiTheme="majorHAnsi" w:hAnsiTheme="majorHAnsi"/>
                <w:sz w:val="22"/>
                <w:szCs w:val="22"/>
                <w:lang w:val="bg-BG"/>
              </w:rPr>
            </w:pPr>
          </w:p>
          <w:p w:rsidR="007A75A7" w:rsidRPr="00B97854" w:rsidRDefault="007A75A7" w:rsidP="007A75A7">
            <w:pPr>
              <w:pStyle w:val="ListParagraph"/>
              <w:numPr>
                <w:ilvl w:val="0"/>
                <w:numId w:val="12"/>
              </w:numPr>
              <w:jc w:val="both"/>
              <w:rPr>
                <w:rFonts w:asciiTheme="majorHAnsi" w:hAnsiTheme="majorHAnsi"/>
                <w:b/>
                <w:sz w:val="22"/>
                <w:szCs w:val="22"/>
                <w:lang w:val="bg-BG"/>
                <w14:props3d w14:extrusionH="57150" w14:contourW="0" w14:prstMaterial="warmMatte">
                  <w14:bevelT w14:w="38100" w14:h="38100" w14:prst="relaxedInset"/>
                </w14:props3d>
              </w:rPr>
            </w:pPr>
            <w:r w:rsidRPr="00B97854">
              <w:rPr>
                <w:rFonts w:asciiTheme="majorHAnsi" w:hAnsiTheme="majorHAnsi"/>
                <w:b/>
                <w:sz w:val="22"/>
                <w:szCs w:val="22"/>
                <w:lang w:val="bg-BG"/>
                <w14:props3d w14:extrusionH="57150" w14:contourW="0" w14:prstMaterial="warmMatte">
                  <w14:bevelT w14:w="38100" w14:h="38100" w14:prst="relaxedInset"/>
                </w14:props3d>
              </w:rPr>
              <w:t xml:space="preserve">Решение </w:t>
            </w:r>
            <w:r w:rsidR="007F60B0" w:rsidRPr="00B97854">
              <w:rPr>
                <w:rFonts w:asciiTheme="majorHAnsi" w:hAnsiTheme="majorHAnsi"/>
                <w:b/>
                <w:sz w:val="22"/>
                <w:szCs w:val="22"/>
                <w:lang w:val="bg-BG"/>
                <w14:props3d w14:extrusionH="57150" w14:contourW="0" w14:prstMaterial="warmMatte">
                  <w14:bevelT w14:w="38100" w14:h="38100" w14:prst="relaxedInset"/>
                </w14:props3d>
              </w:rPr>
              <w:t>на Съда (трети състав) от 23.04.2009</w:t>
            </w:r>
            <w:r w:rsidR="007F60B0" w:rsidRPr="00B97854">
              <w:rPr>
                <w:rStyle w:val="FootnoteReference"/>
                <w:rFonts w:asciiTheme="majorHAnsi" w:hAnsiTheme="majorHAnsi"/>
                <w:b/>
                <w:sz w:val="22"/>
                <w:szCs w:val="22"/>
                <w:lang w:val="bg-BG"/>
                <w14:props3d w14:extrusionH="57150" w14:contourW="0" w14:prstMaterial="warmMatte">
                  <w14:bevelT w14:w="38100" w14:h="38100" w14:prst="relaxedInset"/>
                </w14:props3d>
              </w:rPr>
              <w:footnoteReference w:id="13"/>
            </w:r>
            <w:r w:rsidR="007F60B0" w:rsidRPr="00B97854">
              <w:rPr>
                <w:rFonts w:asciiTheme="majorHAnsi" w:hAnsiTheme="majorHAnsi"/>
                <w:b/>
                <w:sz w:val="22"/>
                <w:szCs w:val="22"/>
                <w:lang w:val="bg-BG"/>
                <w14:props3d w14:extrusionH="57150" w14:contourW="0" w14:prstMaterial="warmMatte">
                  <w14:bevelT w14:w="38100" w14:h="38100" w14:prst="relaxedInset"/>
                </w14:props3d>
              </w:rPr>
              <w:t xml:space="preserve"> г. </w:t>
            </w:r>
            <w:r w:rsidRPr="00B97854">
              <w:rPr>
                <w:rFonts w:asciiTheme="majorHAnsi" w:hAnsiTheme="majorHAnsi"/>
                <w:b/>
                <w:sz w:val="22"/>
                <w:szCs w:val="22"/>
                <w:lang w:val="bg-BG"/>
                <w14:props3d w14:extrusionH="57150" w14:contourW="0" w14:prstMaterial="warmMatte">
                  <w14:bevelT w14:w="38100" w14:h="38100" w14:prst="relaxedInset"/>
                </w14:props3d>
              </w:rPr>
              <w:t xml:space="preserve">по Дело C-460/07, с предмет преюдициално запитване, отправено на основание член 234 ЕО от Verwaltungsgerichtshof (Австрия) с акт от 24 септември 2007 г., постъпил в Съда на 11 октомври 2007 г., в рамките на производство </w:t>
            </w:r>
            <w:r w:rsidRPr="00B97854">
              <w:rPr>
                <w:rFonts w:asciiTheme="majorHAnsi" w:hAnsiTheme="majorHAnsi"/>
                <w:b/>
                <w:sz w:val="22"/>
                <w:szCs w:val="22"/>
                <w:lang w:val="bg-BG"/>
                <w14:props3d w14:extrusionH="57150" w14:contourW="0" w14:prstMaterial="warmMatte">
                  <w14:bevelT w14:w="38100" w14:h="38100" w14:prst="relaxedInset"/>
                </w14:props3d>
              </w:rPr>
              <w:lastRenderedPageBreak/>
              <w:t>по дело Sandra Puffer срещу Unabhängiger Finanzsenat, Außenstelle Linz</w:t>
            </w:r>
            <w:r w:rsidRPr="00B97854">
              <w:rPr>
                <w:rStyle w:val="FootnoteReference"/>
                <w:rFonts w:asciiTheme="majorHAnsi" w:hAnsiTheme="majorHAnsi"/>
                <w:b/>
                <w:sz w:val="22"/>
                <w:szCs w:val="22"/>
                <w:lang w:val="bg-BG"/>
                <w14:props3d w14:extrusionH="57150" w14:contourW="0" w14:prstMaterial="warmMatte">
                  <w14:bevelT w14:w="38100" w14:h="38100" w14:prst="relaxedInset"/>
                </w14:props3d>
              </w:rPr>
              <w:footnoteReference w:id="14"/>
            </w:r>
            <w:r w:rsidRPr="00B97854">
              <w:rPr>
                <w:rFonts w:asciiTheme="majorHAnsi" w:hAnsiTheme="majorHAnsi"/>
                <w:b/>
                <w:sz w:val="22"/>
                <w:szCs w:val="22"/>
                <w:lang w:val="bg-BG"/>
                <w14:props3d w14:extrusionH="57150" w14:contourW="0" w14:prstMaterial="warmMatte">
                  <w14:bevelT w14:w="38100" w14:h="38100" w14:prst="relaxedInset"/>
                </w14:props3d>
              </w:rPr>
              <w:t>:</w:t>
            </w:r>
          </w:p>
          <w:p w:rsidR="007F60B0" w:rsidRPr="00B97854" w:rsidRDefault="007F60B0" w:rsidP="00FE664B">
            <w:pPr>
              <w:pStyle w:val="ListParagraph"/>
              <w:jc w:val="both"/>
              <w:rPr>
                <w:rFonts w:asciiTheme="majorHAnsi" w:hAnsiTheme="majorHAnsi"/>
                <w:sz w:val="22"/>
                <w:szCs w:val="22"/>
                <w:lang w:val="bg-BG"/>
                <w14:props3d w14:extrusionH="57150" w14:contourW="0" w14:prstMaterial="warmMatte">
                  <w14:bevelT w14:w="38100" w14:h="38100" w14:prst="relaxedInset"/>
                </w14:props3d>
              </w:rPr>
            </w:pPr>
            <w:r w:rsidRPr="00B97854">
              <w:rPr>
                <w:rFonts w:asciiTheme="majorHAnsi" w:hAnsiTheme="majorHAnsi"/>
                <w:sz w:val="22"/>
                <w:szCs w:val="22"/>
                <w:lang w:val="bg-BG"/>
                <w14:props3d w14:extrusionH="57150" w14:contourW="0" w14:prstMaterial="warmMatte">
                  <w14:bevelT w14:w="38100" w14:h="38100" w14:prst="relaxedInset"/>
                </w14:props3d>
              </w:rPr>
              <w:t>Преюдициалното запитване се отнася до тълкуването на член 17 от Шеста директива 77/388/ЕИО на Съвета от 17 май 1977 година относно хармонизиране на законодателствата на държавите-членки относно данъците върху оборота — обща система на данъка върху добавената стойност: единна данъчна основа</w:t>
            </w:r>
            <w:r w:rsidR="00414C32" w:rsidRPr="00B97854">
              <w:rPr>
                <w:rStyle w:val="FootnoteReference"/>
                <w:rFonts w:asciiTheme="majorHAnsi" w:hAnsiTheme="majorHAnsi"/>
                <w:sz w:val="22"/>
                <w:szCs w:val="22"/>
                <w:lang w:val="bg-BG"/>
                <w14:props3d w14:extrusionH="57150" w14:contourW="0" w14:prstMaterial="warmMatte">
                  <w14:bevelT w14:w="38100" w14:h="38100" w14:prst="relaxedInset"/>
                </w14:props3d>
              </w:rPr>
              <w:footnoteReference w:id="15"/>
            </w:r>
            <w:r w:rsidRPr="00B97854">
              <w:rPr>
                <w:rFonts w:asciiTheme="majorHAnsi" w:hAnsiTheme="majorHAnsi"/>
                <w:sz w:val="22"/>
                <w:szCs w:val="22"/>
                <w:lang w:val="bg-BG"/>
                <w14:props3d w14:extrusionH="57150" w14:contourW="0" w14:prstMaterial="warmMatte">
                  <w14:bevelT w14:w="38100" w14:h="38100" w14:prst="relaxedInset"/>
                </w14:props3d>
              </w:rPr>
              <w:t xml:space="preserve"> и неговата съвместимост с общия принцип на общностното право за равно третиране.</w:t>
            </w:r>
          </w:p>
          <w:p w:rsidR="007F60B0" w:rsidRPr="00021CEE" w:rsidRDefault="007F60B0" w:rsidP="00FE664B">
            <w:pPr>
              <w:pStyle w:val="ListParagraph"/>
              <w:jc w:val="both"/>
              <w:rPr>
                <w:rFonts w:asciiTheme="majorHAnsi" w:hAnsiTheme="majorHAnsi"/>
                <w:sz w:val="22"/>
                <w:szCs w:val="22"/>
                <w:lang w:val="bg-BG"/>
                <w14:props3d w14:extrusionH="57150" w14:contourW="0" w14:prstMaterial="warmMatte">
                  <w14:bevelT w14:w="38100" w14:h="38100" w14:prst="relaxedInset"/>
                </w14:props3d>
              </w:rPr>
            </w:pPr>
            <w:r w:rsidRPr="00B97854">
              <w:rPr>
                <w:rFonts w:asciiTheme="majorHAnsi" w:hAnsiTheme="majorHAnsi"/>
                <w:sz w:val="22"/>
                <w:szCs w:val="22"/>
                <w:lang w:val="bg-BG"/>
                <w14:props3d w14:extrusionH="57150" w14:contourW="0" w14:prstMaterial="warmMatte">
                  <w14:bevelT w14:w="38100" w14:h="38100" w14:prst="relaxedInset"/>
                </w14:props3d>
              </w:rPr>
              <w:t>Запитването е отправено в рамките на спор между г</w:t>
            </w:r>
            <w:r w:rsidRPr="00B97854">
              <w:rPr>
                <w:rFonts w:asciiTheme="majorHAnsi" w:hAnsiTheme="majorHAnsi"/>
                <w:sz w:val="22"/>
                <w:szCs w:val="22"/>
                <w:lang w:val="bg-BG"/>
                <w14:props3d w14:extrusionH="57150" w14:contourW="0" w14:prstMaterial="warmMatte">
                  <w14:bevelT w14:w="38100" w14:h="38100" w14:prst="relaxedInset"/>
                </w14:props3d>
              </w:rPr>
              <w:noBreakHyphen/>
              <w:t>жа Puffer и Unabhängiger Finanzsenat, Außenstelle Linz</w:t>
            </w:r>
            <w:r w:rsidR="00B03932" w:rsidRPr="00B97854">
              <w:rPr>
                <w:rStyle w:val="FootnoteReference"/>
                <w:rFonts w:asciiTheme="majorHAnsi" w:hAnsiTheme="majorHAnsi"/>
                <w:sz w:val="22"/>
                <w:szCs w:val="22"/>
                <w:lang w:val="bg-BG"/>
                <w14:props3d w14:extrusionH="57150" w14:contourW="0" w14:prstMaterial="warmMatte">
                  <w14:bevelT w14:w="38100" w14:h="38100" w14:prst="relaxedInset"/>
                </w14:props3d>
              </w:rPr>
              <w:footnoteReference w:id="16"/>
            </w:r>
            <w:r w:rsidRPr="00B97854">
              <w:rPr>
                <w:rFonts w:asciiTheme="majorHAnsi" w:hAnsiTheme="majorHAnsi"/>
                <w:sz w:val="22"/>
                <w:szCs w:val="22"/>
                <w:lang w:val="bg-BG"/>
                <w14:props3d w14:extrusionH="57150" w14:contourW="0" w14:prstMaterial="warmMatte">
                  <w14:bevelT w14:w="38100" w14:h="38100" w14:prst="relaxedInset"/>
                </w14:props3d>
              </w:rPr>
              <w:t xml:space="preserve"> във връзка с правото на приспадане на данък върху добавената стойност</w:t>
            </w:r>
            <w:r w:rsidR="00B03932" w:rsidRPr="00B97854">
              <w:rPr>
                <w:rStyle w:val="FootnoteReference"/>
                <w:rFonts w:asciiTheme="majorHAnsi" w:hAnsiTheme="majorHAnsi"/>
                <w:sz w:val="22"/>
                <w:szCs w:val="22"/>
                <w:lang w:val="bg-BG"/>
                <w14:props3d w14:extrusionH="57150" w14:contourW="0" w14:prstMaterial="warmMatte">
                  <w14:bevelT w14:w="38100" w14:h="38100" w14:prst="relaxedInset"/>
                </w14:props3d>
              </w:rPr>
              <w:footnoteReference w:id="17"/>
            </w:r>
            <w:r w:rsidRPr="00B97854">
              <w:rPr>
                <w:rFonts w:asciiTheme="majorHAnsi" w:hAnsiTheme="majorHAnsi"/>
                <w:sz w:val="22"/>
                <w:szCs w:val="22"/>
                <w:lang w:val="bg-BG"/>
                <w14:props3d w14:extrusionH="57150" w14:contourW="0" w14:prstMaterial="warmMatte">
                  <w14:bevelT w14:w="38100" w14:h="38100" w14:prst="relaxedInset"/>
                </w14:props3d>
              </w:rPr>
              <w:t>, заплатен по получени доставки през 2002 г. и 2003 г. във връзка с разходи за строителството на сграда, която изцяло е включена в предприятието на г</w:t>
            </w:r>
            <w:r w:rsidRPr="00B97854">
              <w:rPr>
                <w:rFonts w:asciiTheme="majorHAnsi" w:hAnsiTheme="majorHAnsi"/>
                <w:sz w:val="22"/>
                <w:szCs w:val="22"/>
                <w:lang w:val="bg-BG"/>
                <w14:props3d w14:extrusionH="57150" w14:contourW="0" w14:prstMaterial="warmMatte">
                  <w14:bevelT w14:w="38100" w14:h="38100" w14:prst="relaxedInset"/>
                </w14:props3d>
              </w:rPr>
              <w:noBreakHyphen/>
              <w:t>жа Puffer, но е използвана частично и за лични нужди.</w:t>
            </w:r>
          </w:p>
          <w:p w:rsidR="007A75A7" w:rsidRDefault="007A75A7" w:rsidP="007A75A7"/>
          <w:p w:rsidR="007A75A7" w:rsidRDefault="007A75A7" w:rsidP="00D960A3">
            <w:pPr>
              <w:pStyle w:val="ListParagraph"/>
              <w:jc w:val="both"/>
              <w:rPr>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FE664B" w:rsidRDefault="00FE664B" w:rsidP="00D960A3">
            <w:pPr>
              <w:pStyle w:val="ListParagraph"/>
              <w:jc w:val="both"/>
              <w:rPr>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E231A6" w:rsidRPr="002414F2"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2414F2">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DB79A1"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084573" w:rsidRPr="00021CEE" w:rsidRDefault="00084573" w:rsidP="00084573">
            <w:pPr>
              <w:jc w:val="both"/>
              <w:rPr>
                <w:rFonts w:asciiTheme="majorHAnsi" w:hAnsiTheme="majorHAnsi"/>
                <w:sz w:val="22"/>
                <w:szCs w:val="22"/>
                <w:lang w:val="bg-BG"/>
              </w:rPr>
            </w:pPr>
            <w:r w:rsidRPr="00021CEE">
              <w:rPr>
                <w:rFonts w:asciiTheme="majorHAnsi" w:hAnsiTheme="majorHAnsi"/>
                <w:sz w:val="22"/>
                <w:szCs w:val="22"/>
                <w:lang w:val="bg-BG"/>
              </w:rPr>
              <w:t>Няма нови публикувани нормативни актове за държавните помощи</w:t>
            </w:r>
            <w:r w:rsidR="00A82565" w:rsidRPr="00021CEE">
              <w:rPr>
                <w:rFonts w:asciiTheme="majorHAnsi" w:hAnsiTheme="majorHAnsi"/>
                <w:sz w:val="22"/>
                <w:szCs w:val="22"/>
                <w:lang w:val="bg-BG"/>
              </w:rPr>
              <w:t>.</w:t>
            </w:r>
          </w:p>
          <w:p w:rsidR="00E231A6" w:rsidRPr="00021CEE" w:rsidRDefault="00E231A6" w:rsidP="00E231A6">
            <w:pPr>
              <w:jc w:val="both"/>
              <w:rPr>
                <w:rFonts w:asciiTheme="majorHAnsi" w:hAnsiTheme="majorHAnsi"/>
                <w:b/>
                <w:sz w:val="24"/>
                <w:szCs w:val="24"/>
                <w:lang w:val="bg-BG"/>
              </w:rPr>
            </w:pPr>
            <w:r w:rsidRPr="00021CEE">
              <w:rPr>
                <w:rFonts w:asciiTheme="majorHAnsi" w:hAnsiTheme="majorHAnsi"/>
                <w:sz w:val="24"/>
                <w:szCs w:val="24"/>
                <w:lang w:val="bg-BG"/>
              </w:rPr>
              <w:tab/>
            </w:r>
          </w:p>
          <w:p w:rsidR="00E231A6" w:rsidRPr="00021CEE"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21CEE">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084573" w:rsidRPr="00DB79A1" w:rsidRDefault="00084573" w:rsidP="00084573">
            <w:pPr>
              <w:jc w:val="both"/>
              <w:rPr>
                <w:rFonts w:asciiTheme="majorHAnsi" w:hAnsiTheme="majorHAnsi"/>
                <w:sz w:val="22"/>
                <w:szCs w:val="22"/>
                <w:lang w:val="bg-BG"/>
              </w:rPr>
            </w:pPr>
            <w:r w:rsidRPr="00021CEE">
              <w:rPr>
                <w:rFonts w:asciiTheme="majorHAnsi" w:hAnsiTheme="majorHAnsi"/>
                <w:sz w:val="22"/>
                <w:szCs w:val="22"/>
                <w:lang w:val="bg-BG"/>
              </w:rPr>
              <w:t xml:space="preserve">Няма проведени публични консултации </w:t>
            </w:r>
            <w:r w:rsidR="00144B74" w:rsidRPr="00021CEE">
              <w:rPr>
                <w:rFonts w:asciiTheme="majorHAnsi" w:hAnsiTheme="majorHAnsi"/>
                <w:sz w:val="22"/>
                <w:szCs w:val="22"/>
                <w:lang w:val="bg-BG"/>
              </w:rPr>
              <w:t>за периода</w:t>
            </w:r>
            <w:r w:rsidR="00A82565" w:rsidRPr="00021CEE">
              <w:rPr>
                <w:rFonts w:asciiTheme="majorHAnsi" w:hAnsiTheme="majorHAnsi"/>
                <w:sz w:val="22"/>
                <w:szCs w:val="22"/>
                <w:lang w:val="bg-BG"/>
              </w:rPr>
              <w:t>.</w:t>
            </w:r>
            <w:r w:rsidR="001F5EF5">
              <w:rPr>
                <w:rFonts w:asciiTheme="majorHAnsi" w:hAnsiTheme="majorHAnsi"/>
                <w:sz w:val="22"/>
                <w:szCs w:val="22"/>
                <w:lang w:val="bg-BG"/>
              </w:rPr>
              <w:t xml:space="preserve"> </w:t>
            </w:r>
          </w:p>
          <w:p w:rsidR="00E231A6" w:rsidRPr="00DB79A1" w:rsidRDefault="00E231A6" w:rsidP="00E231A6">
            <w:pPr>
              <w:jc w:val="both"/>
              <w:rPr>
                <w:rFonts w:asciiTheme="majorHAnsi" w:hAnsiTheme="majorHAnsi"/>
                <w:sz w:val="22"/>
                <w:szCs w:val="22"/>
                <w:lang w:val="bg-BG"/>
              </w:rPr>
            </w:pPr>
          </w:p>
          <w:p w:rsidR="00E231A6"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1010DC">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Одобрени мерки по ОРГО от Министерство на финансите</w:t>
            </w: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1010DC" w:rsidRPr="00DB79A1" w:rsidRDefault="001010DC" w:rsidP="001010DC">
            <w:pPr>
              <w:jc w:val="both"/>
              <w:rPr>
                <w:rFonts w:asciiTheme="majorHAnsi" w:hAnsiTheme="majorHAnsi"/>
                <w:sz w:val="22"/>
                <w:szCs w:val="22"/>
                <w:lang w:val="bg-BG"/>
              </w:rPr>
            </w:pPr>
            <w:r w:rsidRPr="00DB79A1">
              <w:rPr>
                <w:rFonts w:asciiTheme="majorHAnsi" w:hAnsiTheme="majorHAnsi"/>
                <w:sz w:val="22"/>
                <w:szCs w:val="22"/>
                <w:lang w:val="bg-BG"/>
              </w:rPr>
              <w:t xml:space="preserve">Няма нови </w:t>
            </w:r>
            <w:r>
              <w:rPr>
                <w:rFonts w:asciiTheme="majorHAnsi" w:hAnsiTheme="majorHAnsi"/>
                <w:sz w:val="22"/>
                <w:szCs w:val="22"/>
                <w:lang w:val="bg-BG"/>
              </w:rPr>
              <w:t>одобрени мерки по ОРГО от Министерство на финансите.</w:t>
            </w:r>
          </w:p>
          <w:p w:rsidR="00E231A6" w:rsidRPr="00DB79A1" w:rsidRDefault="00E231A6" w:rsidP="00E231A6">
            <w:pPr>
              <w:jc w:val="both"/>
              <w:rPr>
                <w:rFonts w:asciiTheme="majorHAnsi" w:hAnsiTheme="majorHAnsi"/>
                <w:b/>
                <w:sz w:val="24"/>
                <w:szCs w:val="24"/>
                <w:lang w:val="bg-BG"/>
              </w:rPr>
            </w:pPr>
          </w:p>
          <w:p w:rsidR="00E231A6" w:rsidRPr="00DB79A1"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1010DC" w:rsidRPr="001010DC" w:rsidRDefault="001010DC" w:rsidP="001010DC">
            <w:pPr>
              <w:spacing w:after="120"/>
              <w:jc w:val="both"/>
              <w:rPr>
                <w:b/>
                <w:lang w:val="bg-BG"/>
              </w:rPr>
            </w:pPr>
            <w:r w:rsidRPr="001010DC">
              <w:rPr>
                <w:rFonts w:asciiTheme="majorHAnsi" w:hAnsiTheme="majorHAnsi"/>
                <w:b/>
                <w:sz w:val="24"/>
                <w:szCs w:val="24"/>
                <w:lang w:val="bg-BG"/>
              </w:rPr>
              <w:t>Дирекция „Държавни помощи и реален сектор“, Министерство на финансите разработи документ Форма за ранен контакт с Министерство на финансите</w:t>
            </w:r>
            <w:r w:rsidRPr="001010DC">
              <w:rPr>
                <w:rStyle w:val="FootnoteReference"/>
                <w:rFonts w:asciiTheme="majorHAnsi" w:hAnsiTheme="majorHAnsi"/>
                <w:b/>
                <w:sz w:val="24"/>
                <w:szCs w:val="24"/>
                <w:lang w:val="bg-BG"/>
              </w:rPr>
              <w:footnoteReference w:id="18"/>
            </w:r>
            <w:r w:rsidRPr="001010DC">
              <w:rPr>
                <w:rFonts w:asciiTheme="majorHAnsi" w:hAnsiTheme="majorHAnsi"/>
                <w:b/>
                <w:sz w:val="24"/>
                <w:szCs w:val="24"/>
                <w:lang w:val="bg-BG"/>
              </w:rPr>
              <w:t xml:space="preserve">. </w:t>
            </w:r>
          </w:p>
          <w:p w:rsidR="001010DC" w:rsidRPr="001010DC" w:rsidRDefault="001010DC" w:rsidP="001010DC">
            <w:pPr>
              <w:jc w:val="both"/>
              <w:rPr>
                <w:rFonts w:asciiTheme="majorHAnsi" w:hAnsiTheme="majorHAnsi"/>
                <w:sz w:val="24"/>
                <w:szCs w:val="24"/>
                <w:lang w:val="bg-BG"/>
              </w:rPr>
            </w:pPr>
            <w:r w:rsidRPr="001010DC">
              <w:rPr>
                <w:rFonts w:asciiTheme="majorHAnsi" w:hAnsiTheme="majorHAnsi"/>
                <w:sz w:val="24"/>
                <w:szCs w:val="24"/>
                <w:lang w:val="bg-BG"/>
              </w:rPr>
              <w:t>Формата за ранен контакт представлява стандартизиран формуляр, който съдържа необходимата синтезирана информация за установяване дали една мярка представлява държавна помощ или не, както и за установяването на приложимия й режим, в случай, че е държавна помощ.</w:t>
            </w:r>
          </w:p>
          <w:p w:rsidR="001010DC" w:rsidRPr="001010DC" w:rsidRDefault="001010DC" w:rsidP="001010DC">
            <w:pPr>
              <w:jc w:val="both"/>
              <w:rPr>
                <w:rFonts w:asciiTheme="majorHAnsi" w:hAnsiTheme="majorHAnsi"/>
                <w:sz w:val="24"/>
                <w:szCs w:val="24"/>
                <w:lang w:val="bg-BG"/>
              </w:rPr>
            </w:pPr>
            <w:r w:rsidRPr="001010DC">
              <w:rPr>
                <w:rFonts w:asciiTheme="majorHAnsi" w:hAnsiTheme="majorHAnsi"/>
                <w:sz w:val="24"/>
                <w:szCs w:val="24"/>
                <w:lang w:val="bg-BG"/>
              </w:rPr>
              <w:t xml:space="preserve">Във връзка с изискванията на чл. 7 от Закона за държавните помощи (ЗДП), администраторите на помощ могат да използват Формата за ранен контакт, още на ранен етап от разработването на мерките, когато същите са под формата на „идеен проект“. </w:t>
            </w:r>
          </w:p>
          <w:p w:rsidR="001010DC" w:rsidRPr="001010DC" w:rsidRDefault="001010DC" w:rsidP="001010DC">
            <w:pPr>
              <w:jc w:val="both"/>
              <w:rPr>
                <w:rFonts w:asciiTheme="majorHAnsi" w:hAnsiTheme="majorHAnsi"/>
                <w:sz w:val="24"/>
                <w:szCs w:val="24"/>
                <w:lang w:val="bg-BG"/>
              </w:rPr>
            </w:pPr>
            <w:r w:rsidRPr="001010DC">
              <w:rPr>
                <w:rFonts w:asciiTheme="majorHAnsi" w:hAnsiTheme="majorHAnsi"/>
                <w:sz w:val="24"/>
                <w:szCs w:val="24"/>
                <w:lang w:val="bg-BG"/>
              </w:rPr>
              <w:t xml:space="preserve">По този начин ще се създаде сигурност за администратора – че е на „верен път“ при моделирането на мярката. Така ще бъдат избегнати </w:t>
            </w:r>
            <w:r w:rsidRPr="001010DC">
              <w:rPr>
                <w:rFonts w:asciiTheme="majorHAnsi" w:hAnsiTheme="majorHAnsi"/>
                <w:sz w:val="24"/>
                <w:szCs w:val="24"/>
                <w:lang w:val="bg-BG"/>
              </w:rPr>
              <w:lastRenderedPageBreak/>
              <w:t>грешките от изминалия програмен период, в края на проекта/мярката, да е необходимо да се променя изцяло дизайна на същите, защото не е съобразен с приложимия режим по държавните помощи.</w:t>
            </w:r>
          </w:p>
          <w:p w:rsidR="001010DC" w:rsidRPr="00DB79A1" w:rsidRDefault="001010DC" w:rsidP="00E231A6">
            <w:pPr>
              <w:jc w:val="both"/>
              <w:rPr>
                <w:rFonts w:asciiTheme="majorHAnsi" w:hAnsiTheme="majorHAnsi"/>
                <w:sz w:val="24"/>
                <w:szCs w:val="24"/>
                <w:lang w:val="bg-BG"/>
              </w:rPr>
            </w:pPr>
          </w:p>
          <w:p w:rsidR="00E231A6" w:rsidRPr="00DB79A1"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(обучения)</w:t>
            </w:r>
          </w:p>
          <w:p w:rsidR="007756F1" w:rsidRDefault="00FD303A" w:rsidP="002D5064">
            <w:pPr>
              <w:jc w:val="both"/>
              <w:rPr>
                <w:rFonts w:asciiTheme="majorHAnsi" w:hAnsiTheme="majorHAnsi"/>
                <w:sz w:val="24"/>
                <w:szCs w:val="24"/>
                <w:lang w:val="bg-BG"/>
              </w:rPr>
            </w:pPr>
            <w:r w:rsidRPr="00FD303A">
              <w:rPr>
                <w:rFonts w:asciiTheme="majorHAnsi" w:hAnsiTheme="majorHAnsi"/>
                <w:sz w:val="24"/>
                <w:szCs w:val="24"/>
                <w:lang w:val="bg-BG"/>
              </w:rPr>
              <w:t>В периода 27-28 ав</w:t>
            </w:r>
            <w:r>
              <w:rPr>
                <w:rFonts w:asciiTheme="majorHAnsi" w:hAnsiTheme="majorHAnsi"/>
                <w:sz w:val="24"/>
                <w:szCs w:val="24"/>
                <w:lang w:val="bg-BG"/>
              </w:rPr>
              <w:t>густ 2015 г. експерти от д</w:t>
            </w:r>
            <w:r w:rsidRPr="00FD303A">
              <w:rPr>
                <w:rFonts w:asciiTheme="majorHAnsi" w:hAnsiTheme="majorHAnsi"/>
                <w:sz w:val="24"/>
                <w:szCs w:val="24"/>
                <w:lang w:val="bg-BG"/>
              </w:rPr>
              <w:t>ирекция „Държавни помощи и реален сектор“ в М</w:t>
            </w:r>
            <w:r>
              <w:rPr>
                <w:rFonts w:asciiTheme="majorHAnsi" w:hAnsiTheme="majorHAnsi"/>
                <w:sz w:val="24"/>
                <w:szCs w:val="24"/>
                <w:lang w:val="bg-BG"/>
              </w:rPr>
              <w:t>инистерство на финансите</w:t>
            </w:r>
            <w:r w:rsidRPr="00FD303A">
              <w:rPr>
                <w:rFonts w:asciiTheme="majorHAnsi" w:hAnsiTheme="majorHAnsi"/>
                <w:sz w:val="24"/>
                <w:szCs w:val="24"/>
                <w:lang w:val="bg-BG"/>
              </w:rPr>
              <w:t xml:space="preserve">  взеха участие в семинар на тема: „Държавни помощи и услуги от общ икономически интерес в областта на здравните грижи, социалните услуги и инфраструктурата“. Обучението се организира от Европейската академия за данъци, икономика и право и се финансира от ОП „Техническа помощ“ 2007-2013 </w:t>
            </w:r>
            <w:r>
              <w:rPr>
                <w:rFonts w:asciiTheme="majorHAnsi" w:hAnsiTheme="majorHAnsi"/>
                <w:sz w:val="24"/>
                <w:szCs w:val="24"/>
                <w:lang w:val="bg-BG"/>
              </w:rPr>
              <w:t>г</w:t>
            </w:r>
            <w:r w:rsidRPr="00FD303A">
              <w:rPr>
                <w:rFonts w:asciiTheme="majorHAnsi" w:hAnsiTheme="majorHAnsi"/>
                <w:sz w:val="24"/>
                <w:szCs w:val="24"/>
                <w:lang w:val="bg-BG"/>
              </w:rPr>
              <w:t xml:space="preserve">. </w:t>
            </w:r>
          </w:p>
          <w:p w:rsidR="00021CEE" w:rsidRDefault="00021CEE" w:rsidP="002D5064">
            <w:pPr>
              <w:jc w:val="both"/>
              <w:rPr>
                <w:color w:val="1F497D"/>
              </w:rPr>
            </w:pPr>
          </w:p>
          <w:p w:rsidR="009B78BB" w:rsidRDefault="00021CEE" w:rsidP="00021CEE">
            <w:pPr>
              <w:spacing w:after="120"/>
              <w:jc w:val="both"/>
              <w:rPr>
                <w:lang w:val="bg-BG"/>
              </w:rPr>
            </w:pPr>
            <w:r w:rsidRPr="00021CE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 събития</w:t>
            </w:r>
            <w:r>
              <w:rPr>
                <w:lang w:val="bg-BG"/>
              </w:rPr>
              <w:t xml:space="preserve"> </w:t>
            </w:r>
          </w:p>
          <w:p w:rsidR="00BD570D" w:rsidRDefault="00DC57C7" w:rsidP="00406AD9">
            <w:pPr>
              <w:jc w:val="both"/>
              <w:rPr>
                <w:rFonts w:asciiTheme="majorHAnsi" w:hAnsiTheme="majorHAnsi"/>
                <w:sz w:val="24"/>
                <w:szCs w:val="24"/>
                <w:lang w:val="en-US"/>
              </w:rPr>
            </w:pPr>
            <w:r>
              <w:rPr>
                <w:rFonts w:asciiTheme="majorHAnsi" w:hAnsiTheme="majorHAnsi"/>
                <w:sz w:val="24"/>
                <w:szCs w:val="24"/>
                <w:lang w:val="bg-BG"/>
              </w:rPr>
              <w:t>Н</w:t>
            </w:r>
            <w:r w:rsidRPr="00DC57C7">
              <w:rPr>
                <w:rFonts w:asciiTheme="majorHAnsi" w:hAnsiTheme="majorHAnsi"/>
                <w:sz w:val="24"/>
                <w:szCs w:val="24"/>
                <w:lang w:val="bg-BG"/>
              </w:rPr>
              <w:t>а 23.0</w:t>
            </w:r>
            <w:r>
              <w:rPr>
                <w:rFonts w:asciiTheme="majorHAnsi" w:hAnsiTheme="majorHAnsi"/>
                <w:sz w:val="24"/>
                <w:szCs w:val="24"/>
                <w:lang w:val="bg-BG"/>
              </w:rPr>
              <w:t>9.2015 г. в гр. Брюксел, Белгия ще се проведе с</w:t>
            </w:r>
            <w:r w:rsidRPr="00DC57C7">
              <w:rPr>
                <w:rFonts w:asciiTheme="majorHAnsi" w:hAnsiTheme="majorHAnsi"/>
                <w:sz w:val="24"/>
                <w:szCs w:val="24"/>
                <w:lang w:val="bg-BG"/>
              </w:rPr>
              <w:t>реща на Работната група по инфраструктура и държавни помощи (РГИДП) във връзка с прилагане на модернизацията в режима по държавните помощи</w:t>
            </w:r>
            <w:r w:rsidR="00554ADB">
              <w:rPr>
                <w:rFonts w:asciiTheme="majorHAnsi" w:hAnsiTheme="majorHAnsi"/>
                <w:sz w:val="24"/>
                <w:szCs w:val="24"/>
                <w:lang w:val="bg-BG"/>
              </w:rPr>
              <w:t>.</w:t>
            </w:r>
            <w:r w:rsidRPr="00DC57C7">
              <w:rPr>
                <w:rFonts w:asciiTheme="majorHAnsi" w:hAnsiTheme="majorHAnsi"/>
                <w:sz w:val="24"/>
                <w:szCs w:val="24"/>
                <w:lang w:val="bg-BG"/>
              </w:rPr>
              <w:t xml:space="preserve"> РГИДП е формат на РГ на ГД „Конкуренция“ (ГДК), Европейска комисия и на срещата ще участват представителите на ГДК, както и представители от останалите държави-членки. </w:t>
            </w:r>
          </w:p>
          <w:p w:rsidR="00406AD9" w:rsidRPr="00406AD9" w:rsidRDefault="00406AD9" w:rsidP="00406AD9">
            <w:pPr>
              <w:jc w:val="both"/>
              <w:rPr>
                <w:lang w:val="en-US"/>
              </w:rPr>
            </w:pPr>
          </w:p>
        </w:tc>
        <w:tc>
          <w:tcPr>
            <w:tcW w:w="2268" w:type="dxa"/>
          </w:tcPr>
          <w:p w:rsidR="00221E6C"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99561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99561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995618">
              <w:rPr>
                <w:rFonts w:asciiTheme="majorHAnsi" w:hAnsiTheme="majorHAnsi"/>
                <w:b/>
                <w:color w:val="000000" w:themeColor="text1"/>
                <w:sz w:val="32"/>
                <w:szCs w:val="32"/>
                <w:lang w:val="bg-BG"/>
                <w14:textOutline w14:w="9525" w14:cap="rnd" w14:cmpd="sng" w14:algn="ctr">
                  <w14:noFill/>
                  <w14:prstDash w14:val="solid"/>
                  <w14:bevel/>
                </w14:textOutline>
              </w:rPr>
              <w:t>:</w:t>
            </w:r>
          </w:p>
          <w:p w:rsidR="00151C91" w:rsidRDefault="00151C91"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p>
          <w:p w:rsidR="00BA535B" w:rsidRPr="00BA535B" w:rsidRDefault="00151C91" w:rsidP="00151C91">
            <w:pPr>
              <w:jc w:val="both"/>
              <w:rPr>
                <w:rFonts w:asciiTheme="majorHAnsi" w:hAnsiTheme="majorHAnsi"/>
                <w:b/>
                <w:i/>
                <w:color w:val="000000" w:themeColor="text1"/>
                <w:sz w:val="22"/>
                <w:szCs w:val="22"/>
                <w:lang w:val="bg-BG"/>
              </w:rPr>
            </w:pPr>
            <w:r w:rsidRPr="00BA535B">
              <w:rPr>
                <w:rFonts w:asciiTheme="majorHAnsi" w:hAnsiTheme="majorHAnsi"/>
                <w:b/>
                <w:i/>
                <w:color w:val="000000" w:themeColor="text1"/>
                <w:sz w:val="22"/>
                <w:szCs w:val="22"/>
                <w:lang w:val="bg-BG"/>
              </w:rPr>
              <w:t xml:space="preserve">Европейската комисия предостави </w:t>
            </w:r>
            <w:r w:rsidR="00BA535B">
              <w:rPr>
                <w:rFonts w:asciiTheme="majorHAnsi" w:hAnsiTheme="majorHAnsi"/>
                <w:b/>
                <w:i/>
                <w:color w:val="000000" w:themeColor="text1"/>
                <w:sz w:val="22"/>
                <w:szCs w:val="22"/>
                <w:lang w:val="bg-BG"/>
              </w:rPr>
              <w:t>в интерпретацион</w:t>
            </w:r>
            <w:r w:rsidR="009701F4">
              <w:rPr>
                <w:rFonts w:asciiTheme="majorHAnsi" w:hAnsiTheme="majorHAnsi"/>
                <w:b/>
                <w:i/>
                <w:color w:val="000000" w:themeColor="text1"/>
                <w:sz w:val="22"/>
                <w:szCs w:val="22"/>
                <w:lang w:val="bg-BG"/>
              </w:rPr>
              <w:t>-</w:t>
            </w:r>
            <w:r w:rsidR="00BA535B">
              <w:rPr>
                <w:rFonts w:asciiTheme="majorHAnsi" w:hAnsiTheme="majorHAnsi"/>
                <w:b/>
                <w:i/>
                <w:color w:val="000000" w:themeColor="text1"/>
                <w:sz w:val="22"/>
                <w:szCs w:val="22"/>
                <w:lang w:val="bg-BG"/>
              </w:rPr>
              <w:t xml:space="preserve">ната платформа за въпроси и отговори </w:t>
            </w:r>
            <w:r w:rsidR="00BA535B">
              <w:rPr>
                <w:rFonts w:asciiTheme="majorHAnsi" w:hAnsiTheme="majorHAnsi"/>
                <w:b/>
                <w:i/>
                <w:color w:val="000000" w:themeColor="text1"/>
                <w:sz w:val="22"/>
                <w:szCs w:val="22"/>
                <w:lang w:val="en-US"/>
              </w:rPr>
              <w:t xml:space="preserve">ECN-ET </w:t>
            </w:r>
            <w:r w:rsidRPr="00BA535B">
              <w:rPr>
                <w:rFonts w:asciiTheme="majorHAnsi" w:hAnsiTheme="majorHAnsi"/>
                <w:b/>
                <w:i/>
                <w:color w:val="000000" w:themeColor="text1"/>
                <w:sz w:val="22"/>
                <w:szCs w:val="22"/>
                <w:lang w:val="bg-BG"/>
              </w:rPr>
              <w:t xml:space="preserve">отговори на въпроси, зададени от </w:t>
            </w:r>
            <w:r w:rsidR="00BA535B">
              <w:rPr>
                <w:rFonts w:asciiTheme="majorHAnsi" w:hAnsiTheme="majorHAnsi"/>
                <w:b/>
                <w:i/>
                <w:color w:val="000000" w:themeColor="text1"/>
                <w:sz w:val="22"/>
                <w:szCs w:val="22"/>
                <w:lang w:val="bg-BG"/>
              </w:rPr>
              <w:t xml:space="preserve">компетентните </w:t>
            </w:r>
            <w:r w:rsidRPr="00BA535B">
              <w:rPr>
                <w:rFonts w:asciiTheme="majorHAnsi" w:hAnsiTheme="majorHAnsi"/>
                <w:b/>
                <w:i/>
                <w:color w:val="000000" w:themeColor="text1"/>
                <w:sz w:val="22"/>
                <w:szCs w:val="22"/>
                <w:lang w:val="bg-BG"/>
              </w:rPr>
              <w:t>българските власти</w:t>
            </w:r>
            <w:r w:rsidR="00BA535B">
              <w:rPr>
                <w:rFonts w:asciiTheme="majorHAnsi" w:hAnsiTheme="majorHAnsi"/>
                <w:b/>
                <w:i/>
                <w:color w:val="000000" w:themeColor="text1"/>
                <w:sz w:val="22"/>
                <w:szCs w:val="22"/>
                <w:lang w:val="bg-BG"/>
              </w:rPr>
              <w:t xml:space="preserve">, свързани с ОРГО и Насоките за </w:t>
            </w:r>
            <w:r w:rsidR="00BA535B" w:rsidRPr="00BA535B">
              <w:rPr>
                <w:rFonts w:asciiTheme="majorHAnsi" w:hAnsiTheme="majorHAnsi"/>
                <w:b/>
                <w:i/>
                <w:color w:val="000000" w:themeColor="text1"/>
                <w:sz w:val="22"/>
                <w:szCs w:val="22"/>
                <w:lang w:val="bg-BG"/>
              </w:rPr>
              <w:t>опазване на околната среда и за енергетика</w:t>
            </w:r>
            <w:r w:rsidR="00BA535B">
              <w:rPr>
                <w:rFonts w:asciiTheme="majorHAnsi" w:hAnsiTheme="majorHAnsi"/>
                <w:b/>
                <w:i/>
                <w:color w:val="000000" w:themeColor="text1"/>
                <w:sz w:val="22"/>
                <w:szCs w:val="22"/>
                <w:lang w:val="bg-BG"/>
              </w:rPr>
              <w:t>.</w:t>
            </w:r>
          </w:p>
          <w:p w:rsidR="00151C91" w:rsidRPr="00995618" w:rsidRDefault="00151C91"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p>
          <w:p w:rsidR="00221E6C" w:rsidRPr="00DB79A1" w:rsidRDefault="00221E6C">
            <w:pPr>
              <w:rPr>
                <w:lang w:val="bg-BG"/>
              </w:rPr>
            </w:pPr>
          </w:p>
          <w:p w:rsidR="00221E6C" w:rsidRDefault="00221E6C"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DE790D" w:rsidRDefault="00DE790D" w:rsidP="00E704CC">
            <w:pPr>
              <w:jc w:val="both"/>
              <w:rPr>
                <w:lang w:val="bg-BG"/>
              </w:rPr>
            </w:pPr>
          </w:p>
          <w:p w:rsidR="00021CEE" w:rsidRDefault="00021CEE" w:rsidP="00E704CC">
            <w:pPr>
              <w:jc w:val="both"/>
              <w:rPr>
                <w:lang w:val="bg-BG"/>
              </w:rPr>
            </w:pPr>
          </w:p>
          <w:p w:rsidR="00021CEE" w:rsidRDefault="00021CEE" w:rsidP="00E704CC">
            <w:pPr>
              <w:jc w:val="both"/>
              <w:rPr>
                <w:lang w:val="bg-BG"/>
              </w:rPr>
            </w:pPr>
          </w:p>
          <w:p w:rsidR="00021CEE" w:rsidRDefault="00021CEE" w:rsidP="00021CEE">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995618">
              <w:rPr>
                <w:rFonts w:asciiTheme="majorHAnsi" w:hAnsiTheme="majorHAnsi"/>
                <w:b/>
                <w:color w:val="000000" w:themeColor="text1"/>
                <w:sz w:val="32"/>
                <w:szCs w:val="32"/>
                <w:lang w:val="bg-BG"/>
                <w14:textOutline w14:w="9525" w14:cap="rnd" w14:cmpd="sng" w14:algn="ctr">
                  <w14:noFill/>
                  <w14:prstDash w14:val="solid"/>
                  <w14:bevel/>
                </w14:textOutline>
              </w:rPr>
              <w:t>По-важните акценти в Бюлетина:</w:t>
            </w:r>
          </w:p>
          <w:p w:rsidR="00021CEE" w:rsidRDefault="00021CEE" w:rsidP="00E704CC">
            <w:pPr>
              <w:jc w:val="both"/>
              <w:rPr>
                <w:lang w:val="bg-BG"/>
              </w:rPr>
            </w:pPr>
          </w:p>
          <w:p w:rsidR="00021CEE" w:rsidRDefault="00021CEE" w:rsidP="00E704CC">
            <w:pPr>
              <w:jc w:val="both"/>
              <w:rPr>
                <w:rFonts w:asciiTheme="majorHAnsi" w:hAnsiTheme="majorHAnsi"/>
                <w:b/>
                <w:sz w:val="24"/>
                <w:szCs w:val="24"/>
                <w:lang w:val="bg-BG"/>
              </w:rPr>
            </w:pPr>
          </w:p>
          <w:p w:rsidR="00021CEE" w:rsidRPr="00DB79A1" w:rsidRDefault="00021CEE" w:rsidP="00E704CC">
            <w:pPr>
              <w:jc w:val="both"/>
              <w:rPr>
                <w:lang w:val="bg-BG"/>
              </w:rPr>
            </w:pPr>
            <w:r w:rsidRPr="001010DC">
              <w:rPr>
                <w:rFonts w:asciiTheme="majorHAnsi" w:hAnsiTheme="majorHAnsi"/>
                <w:b/>
                <w:sz w:val="24"/>
                <w:szCs w:val="24"/>
                <w:lang w:val="bg-BG"/>
              </w:rPr>
              <w:t>Дирекция „Държавни помощи и реален сектор“, Министерство на финансите разработи документ Форма за ранен контакт с Министерство на финансите</w:t>
            </w:r>
            <w:r>
              <w:rPr>
                <w:rFonts w:asciiTheme="majorHAnsi" w:hAnsiTheme="majorHAnsi"/>
                <w:b/>
                <w:sz w:val="24"/>
                <w:szCs w:val="24"/>
                <w:lang w:val="bg-BG"/>
              </w:rPr>
              <w:t>.</w:t>
            </w:r>
          </w:p>
        </w:tc>
      </w:tr>
    </w:tbl>
    <w:p w:rsidR="00347BCE" w:rsidRPr="00DB79A1" w:rsidRDefault="00347BCE" w:rsidP="000A7D4C">
      <w:pPr>
        <w:rPr>
          <w:lang w:val="bg-BG"/>
        </w:rPr>
      </w:pPr>
    </w:p>
    <w:sectPr w:rsidR="00347BCE" w:rsidRPr="00DB79A1" w:rsidSect="00ED5BA6">
      <w:headerReference w:type="even" r:id="rId9"/>
      <w:headerReference w:type="default" r:id="rId10"/>
      <w:footerReference w:type="even" r:id="rId11"/>
      <w:footerReference w:type="default" r:id="rId12"/>
      <w:headerReference w:type="first" r:id="rId13"/>
      <w:footerReference w:type="first" r:id="rId14"/>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30" w:rsidRDefault="00BE7830" w:rsidP="00772F29">
      <w:r>
        <w:separator/>
      </w:r>
    </w:p>
  </w:endnote>
  <w:endnote w:type="continuationSeparator" w:id="0">
    <w:p w:rsidR="00BE7830" w:rsidRDefault="00BE7830"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7B" w:rsidRDefault="00692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69247B" w:rsidRPr="00772F29" w:rsidRDefault="0069247B"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F425A1">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69247B" w:rsidRPr="00A25E74" w:rsidRDefault="0069247B"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 xml:space="preserve">за държавните помощи </w:t>
    </w:r>
    <w:r w:rsidRPr="00A25E74">
      <w:rPr>
        <w:rFonts w:ascii="Cambria" w:hAnsi="Cambria" w:cs="Cambria"/>
        <w:b/>
        <w:color w:val="auto"/>
        <w:sz w:val="16"/>
        <w:szCs w:val="16"/>
      </w:rPr>
      <w:t>№ 01/</w:t>
    </w:r>
    <w:r>
      <w:rPr>
        <w:rFonts w:ascii="Cambria" w:hAnsi="Cambria" w:cs="Cambria"/>
        <w:b/>
        <w:color w:val="auto"/>
        <w:sz w:val="16"/>
        <w:szCs w:val="16"/>
        <w:lang w:val="en-US"/>
      </w:rPr>
      <w:t>20</w:t>
    </w:r>
    <w:r w:rsidRPr="00A25E74">
      <w:rPr>
        <w:rFonts w:ascii="Cambria" w:hAnsi="Cambria" w:cs="Cambria"/>
        <w:b/>
        <w:color w:val="auto"/>
        <w:sz w:val="16"/>
        <w:szCs w:val="16"/>
      </w:rPr>
      <w:t>15</w:t>
    </w:r>
  </w:p>
  <w:p w:rsidR="0069247B" w:rsidRPr="00772F29" w:rsidRDefault="0069247B">
    <w:pPr>
      <w:pStyle w:val="Footer"/>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7B" w:rsidRDefault="00692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30" w:rsidRDefault="00BE7830" w:rsidP="00772F29">
      <w:r>
        <w:separator/>
      </w:r>
    </w:p>
  </w:footnote>
  <w:footnote w:type="continuationSeparator" w:id="0">
    <w:p w:rsidR="00BE7830" w:rsidRDefault="00BE7830" w:rsidP="00772F29">
      <w:r>
        <w:continuationSeparator/>
      </w:r>
    </w:p>
  </w:footnote>
  <w:footnote w:id="1">
    <w:p w:rsidR="0069247B" w:rsidRPr="00995618" w:rsidRDefault="0069247B"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1A1ABA" w:rsidRPr="00995618" w:rsidRDefault="001A1ABA" w:rsidP="001A1ABA">
      <w:pPr>
        <w:jc w:val="both"/>
        <w:rPr>
          <w:lang w:val="bg-BG"/>
        </w:rPr>
      </w:pPr>
      <w:r>
        <w:rPr>
          <w:rStyle w:val="FootnoteReference"/>
        </w:rPr>
        <w:footnoteRef/>
      </w:r>
      <w:r>
        <w:t xml:space="preserve"> </w:t>
      </w:r>
      <w:hyperlink r:id="rId1"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3">
    <w:p w:rsidR="00995618" w:rsidRPr="00995618" w:rsidRDefault="00995618">
      <w:pPr>
        <w:pStyle w:val="FootnoteText"/>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4">
    <w:p w:rsidR="00C5337F" w:rsidRPr="00C5337F" w:rsidRDefault="00C5337F" w:rsidP="00C5337F">
      <w:pPr>
        <w:jc w:val="both"/>
        <w:rPr>
          <w:lang w:val="bg-BG"/>
        </w:rPr>
      </w:pPr>
      <w:r w:rsidRPr="00C5337F">
        <w:rPr>
          <w:rStyle w:val="FootnoteReference"/>
          <w:lang w:val="bg-BG"/>
        </w:rPr>
        <w:footnoteRef/>
      </w:r>
      <w:r w:rsidRPr="00C5337F">
        <w:rPr>
          <w:lang w:val="bg-BG"/>
        </w:rPr>
        <w:t xml:space="preserve"> </w:t>
      </w:r>
      <w:r w:rsidRPr="00C5337F">
        <w:rPr>
          <w:rStyle w:val="Hyperlink"/>
          <w:rFonts w:asciiTheme="minorHAnsi" w:hAnsiTheme="minorHAnsi"/>
          <w:color w:val="auto"/>
          <w:sz w:val="18"/>
          <w:szCs w:val="18"/>
          <w:u w:val="none"/>
          <w:lang w:val="bg-BG"/>
        </w:rPr>
        <w:t>Насоки относно държавната помощ за опазване на околната среда и за енергетика за периода 2014 — 2020 г. (ОВ, С 249 от 28.06.2014 г.);</w:t>
      </w:r>
    </w:p>
  </w:footnote>
  <w:footnote w:id="5">
    <w:p w:rsidR="001F3C0D" w:rsidRPr="00CF720A" w:rsidRDefault="001F3C0D">
      <w:pPr>
        <w:pStyle w:val="FootnoteText"/>
        <w:rPr>
          <w:lang w:val="bg-BG"/>
        </w:rPr>
      </w:pPr>
      <w:r>
        <w:rPr>
          <w:rStyle w:val="FootnoteReference"/>
        </w:rPr>
        <w:footnoteRef/>
      </w:r>
      <w:r>
        <w:t xml:space="preserve"> </w:t>
      </w:r>
      <w:hyperlink r:id="rId3" w:history="1">
        <w:r w:rsidR="00CF720A" w:rsidRPr="00CF720A">
          <w:rPr>
            <w:rStyle w:val="Hyperlink"/>
            <w:sz w:val="16"/>
            <w:szCs w:val="16"/>
          </w:rPr>
          <w:t>http://stateaid.minfin.bg/bg/page/472</w:t>
        </w:r>
      </w:hyperlink>
      <w:r w:rsidR="00CF720A">
        <w:rPr>
          <w:lang w:val="bg-BG"/>
        </w:rPr>
        <w:t xml:space="preserve"> </w:t>
      </w:r>
    </w:p>
  </w:footnote>
  <w:footnote w:id="6">
    <w:p w:rsidR="001F3C0D" w:rsidRPr="00C44505" w:rsidRDefault="001F3C0D">
      <w:pPr>
        <w:pStyle w:val="FootnoteText"/>
        <w:rPr>
          <w:lang w:val="bg-BG"/>
        </w:rPr>
      </w:pPr>
      <w:r>
        <w:rPr>
          <w:rStyle w:val="FootnoteReference"/>
        </w:rPr>
        <w:footnoteRef/>
      </w:r>
      <w:r>
        <w:t xml:space="preserve"> </w:t>
      </w:r>
      <w:hyperlink r:id="rId4" w:history="1">
        <w:r w:rsidR="00C44505" w:rsidRPr="00992251">
          <w:rPr>
            <w:rStyle w:val="Hyperlink"/>
            <w:sz w:val="16"/>
            <w:szCs w:val="16"/>
          </w:rPr>
          <w:t>http://stateaid.minfin.bg/bg/page/475</w:t>
        </w:r>
      </w:hyperlink>
      <w:r w:rsidR="00C44505">
        <w:rPr>
          <w:rStyle w:val="Hyperlink"/>
          <w:sz w:val="16"/>
          <w:szCs w:val="16"/>
          <w:lang w:val="bg-BG"/>
        </w:rPr>
        <w:t xml:space="preserve"> </w:t>
      </w:r>
    </w:p>
  </w:footnote>
  <w:footnote w:id="7">
    <w:p w:rsidR="001F3C0D" w:rsidRPr="00C44505" w:rsidRDefault="001F3C0D">
      <w:pPr>
        <w:pStyle w:val="FootnoteText"/>
        <w:rPr>
          <w:lang w:val="bg-BG"/>
        </w:rPr>
      </w:pPr>
      <w:r>
        <w:rPr>
          <w:rStyle w:val="FootnoteReference"/>
        </w:rPr>
        <w:footnoteRef/>
      </w:r>
      <w:r>
        <w:t xml:space="preserve"> </w:t>
      </w:r>
      <w:hyperlink r:id="rId5" w:history="1">
        <w:r w:rsidR="00C44505" w:rsidRPr="00992251">
          <w:rPr>
            <w:rStyle w:val="Hyperlink"/>
            <w:sz w:val="16"/>
            <w:szCs w:val="16"/>
          </w:rPr>
          <w:t>http://stateaid.minfin.bg/bg/page/476</w:t>
        </w:r>
      </w:hyperlink>
      <w:r w:rsidR="00C44505">
        <w:rPr>
          <w:rStyle w:val="Hyperlink"/>
          <w:sz w:val="16"/>
          <w:szCs w:val="16"/>
          <w:lang w:val="bg-BG"/>
        </w:rPr>
        <w:t xml:space="preserve"> </w:t>
      </w:r>
    </w:p>
  </w:footnote>
  <w:footnote w:id="8">
    <w:p w:rsidR="0069247B" w:rsidRPr="000A7D4C" w:rsidRDefault="0069247B" w:rsidP="00FA6A64">
      <w:pPr>
        <w:jc w:val="both"/>
        <w:rPr>
          <w:sz w:val="16"/>
          <w:szCs w:val="16"/>
          <w:lang w:val="bg-BG"/>
        </w:rPr>
      </w:pPr>
      <w:r w:rsidRPr="00C44505">
        <w:rPr>
          <w:rStyle w:val="FootnoteReference"/>
        </w:rPr>
        <w:footnoteRef/>
      </w:r>
      <w:r w:rsidRPr="000A7D4C">
        <w:rPr>
          <w:sz w:val="16"/>
          <w:szCs w:val="16"/>
        </w:rPr>
        <w:t xml:space="preserve"> </w:t>
      </w:r>
      <w:r w:rsidRPr="000A7D4C">
        <w:rPr>
          <w:rStyle w:val="Hyperlink"/>
          <w:sz w:val="16"/>
          <w:szCs w:val="16"/>
        </w:rPr>
        <w:t>http://www.lexxion.de/de/verlagsprogramm-konferenzen/state-aid-law/conference-on-economics-of-state-aid-control-where-law-and-economics-meet.html</w:t>
      </w:r>
    </w:p>
  </w:footnote>
  <w:footnote w:id="9">
    <w:p w:rsidR="0069247B" w:rsidRPr="000A7D4C" w:rsidRDefault="0069247B">
      <w:pPr>
        <w:pStyle w:val="FootnoteText"/>
        <w:rPr>
          <w:sz w:val="16"/>
          <w:szCs w:val="16"/>
          <w:lang w:val="bg-BG"/>
        </w:rPr>
      </w:pPr>
      <w:r w:rsidRPr="00C44505">
        <w:rPr>
          <w:rStyle w:val="FootnoteReference"/>
        </w:rPr>
        <w:footnoteRef/>
      </w:r>
      <w:r w:rsidRPr="000A7D4C">
        <w:rPr>
          <w:sz w:val="16"/>
          <w:szCs w:val="16"/>
        </w:rPr>
        <w:t xml:space="preserve"> </w:t>
      </w:r>
      <w:r w:rsidRPr="000A7D4C">
        <w:rPr>
          <w:rStyle w:val="Hyperlink"/>
          <w:sz w:val="16"/>
          <w:szCs w:val="16"/>
        </w:rPr>
        <w:t>http://www.euroacad.eu/events/event/eu-financing-for-broadband-infrastructure-projects-2014-2020.html</w:t>
      </w:r>
    </w:p>
  </w:footnote>
  <w:footnote w:id="10">
    <w:p w:rsidR="0069247B" w:rsidRPr="00416881" w:rsidRDefault="0069247B">
      <w:pPr>
        <w:pStyle w:val="FootnoteText"/>
        <w:rPr>
          <w:lang w:val="bg-BG"/>
        </w:rPr>
      </w:pPr>
      <w:r w:rsidRPr="00C44505">
        <w:rPr>
          <w:rStyle w:val="FootnoteReference"/>
        </w:rPr>
        <w:footnoteRef/>
      </w:r>
      <w:r w:rsidRPr="000A7D4C">
        <w:rPr>
          <w:sz w:val="16"/>
          <w:szCs w:val="16"/>
        </w:rPr>
        <w:t xml:space="preserve"> </w:t>
      </w:r>
      <w:r w:rsidR="001F7BED" w:rsidRPr="000A7D4C">
        <w:rPr>
          <w:sz w:val="16"/>
          <w:szCs w:val="16"/>
          <w:lang w:val="bg-BG"/>
        </w:rPr>
        <w:t xml:space="preserve"> </w:t>
      </w:r>
      <w:r w:rsidR="001F7BED" w:rsidRPr="000A7D4C">
        <w:rPr>
          <w:rStyle w:val="Hyperlink"/>
          <w:sz w:val="16"/>
          <w:szCs w:val="16"/>
        </w:rPr>
        <w:t>http://www.uni-speyer.de/files/5.pdf</w:t>
      </w:r>
    </w:p>
  </w:footnote>
  <w:footnote w:id="11">
    <w:p w:rsidR="00105FEA" w:rsidRPr="00CD399E" w:rsidRDefault="00105FEA">
      <w:pPr>
        <w:pStyle w:val="FootnoteText"/>
        <w:rPr>
          <w:rStyle w:val="Hyperlink"/>
          <w:sz w:val="16"/>
          <w:szCs w:val="16"/>
        </w:rPr>
      </w:pPr>
      <w:r>
        <w:rPr>
          <w:rStyle w:val="FootnoteReference"/>
        </w:rPr>
        <w:footnoteRef/>
      </w:r>
      <w:r>
        <w:t xml:space="preserve"> </w:t>
      </w:r>
      <w:hyperlink r:id="rId6" w:history="1">
        <w:r w:rsidRPr="00CD399E">
          <w:rPr>
            <w:rStyle w:val="Hyperlink"/>
            <w:sz w:val="16"/>
            <w:szCs w:val="16"/>
          </w:rPr>
          <w:t>http://www.lexxion.de/de/verlagsprogramm-konferenzen/state-aid-law/european-conference-state-aid-a-control-of-esi-funds.html</w:t>
        </w:r>
      </w:hyperlink>
      <w:r w:rsidRPr="00CD399E">
        <w:rPr>
          <w:rStyle w:val="Hyperlink"/>
          <w:sz w:val="16"/>
          <w:szCs w:val="16"/>
        </w:rPr>
        <w:t xml:space="preserve"> </w:t>
      </w:r>
    </w:p>
  </w:footnote>
  <w:footnote w:id="12">
    <w:p w:rsidR="009701F4" w:rsidRPr="001169C5" w:rsidRDefault="009701F4" w:rsidP="009701F4">
      <w:pPr>
        <w:rPr>
          <w:lang w:val="bg-BG"/>
        </w:rPr>
      </w:pPr>
      <w:r>
        <w:rPr>
          <w:rStyle w:val="FootnoteReference"/>
        </w:rPr>
        <w:footnoteRef/>
      </w:r>
      <w:r>
        <w:t xml:space="preserve"> </w:t>
      </w:r>
      <w:hyperlink r:id="rId7" w:history="1">
        <w:r w:rsidRPr="00992251">
          <w:rPr>
            <w:rStyle w:val="Hyperlink"/>
            <w:sz w:val="16"/>
            <w:szCs w:val="16"/>
          </w:rPr>
          <w:t>http://www.jaspersnetwork.org/download/attachments/4947978/State%20Aid%20Cultural_infrastructures_Guidelines.pdf?version=1&amp;modificationDate=1366385068000&amp;api=v2</w:t>
        </w:r>
      </w:hyperlink>
      <w:r>
        <w:rPr>
          <w:color w:val="1F497D"/>
          <w:sz w:val="24"/>
          <w:szCs w:val="24"/>
        </w:rPr>
        <w:t xml:space="preserve"> </w:t>
      </w:r>
    </w:p>
  </w:footnote>
  <w:footnote w:id="13">
    <w:p w:rsidR="007F60B0" w:rsidRPr="007F60B0" w:rsidRDefault="007F60B0" w:rsidP="007F60B0">
      <w:pPr>
        <w:jc w:val="both"/>
        <w:rPr>
          <w:lang w:val="bg-BG"/>
        </w:rPr>
      </w:pPr>
      <w:r>
        <w:rPr>
          <w:rStyle w:val="FootnoteReference"/>
        </w:rPr>
        <w:footnoteRef/>
      </w:r>
      <w:r>
        <w:t xml:space="preserve"> </w:t>
      </w:r>
      <w:r w:rsidRPr="007F60B0">
        <w:rPr>
          <w:rFonts w:asciiTheme="majorHAnsi" w:hAnsiTheme="majorHAnsi"/>
          <w:sz w:val="18"/>
          <w:szCs w:val="18"/>
          <w:lang w:val="bg-BG"/>
        </w:rPr>
        <w:t>„Шеста директива ДДС — Член 17, параграфи 2 и 6 — Право на приспадане на данъка по получени доставки — Разходи за построяването на сграда, включена в предприятието на данъчнозадължено лице — Член 6, параграф 2 — Използване на част от сградата за лични нужди — Финансово предимство в сравнение с данъчно незадължените лица — Равно третиране — Държавна помощ на основание член 87 ЕО — Изключване на правото на приспадане“</w:t>
      </w:r>
    </w:p>
  </w:footnote>
  <w:footnote w:id="14">
    <w:p w:rsidR="007A75A7" w:rsidRPr="007A75A7" w:rsidRDefault="007A75A7">
      <w:pPr>
        <w:pStyle w:val="FootnoteText"/>
        <w:rPr>
          <w:lang w:val="bg-BG"/>
        </w:rPr>
      </w:pPr>
      <w:r>
        <w:rPr>
          <w:rStyle w:val="FootnoteReference"/>
        </w:rPr>
        <w:footnoteRef/>
      </w:r>
      <w:r>
        <w:t xml:space="preserve"> </w:t>
      </w:r>
      <w:r w:rsidRPr="007A75A7">
        <w:rPr>
          <w:rStyle w:val="Hyperlink"/>
          <w:sz w:val="16"/>
          <w:szCs w:val="16"/>
        </w:rPr>
        <w:t>http://curia.europa.eu/juris/document/document.jsf?text=&amp;docid=77992&amp;pageIndex=0&amp;doclang=BG&amp;mode=lst&amp;dir=&amp;occ=first&amp;part=1&amp;cid=1022503</w:t>
      </w:r>
    </w:p>
  </w:footnote>
  <w:footnote w:id="15">
    <w:p w:rsidR="00414C32" w:rsidRPr="00414C32" w:rsidRDefault="00414C32">
      <w:pPr>
        <w:pStyle w:val="FootnoteText"/>
        <w:rPr>
          <w:lang w:val="bg-BG"/>
        </w:rPr>
      </w:pPr>
      <w:r>
        <w:rPr>
          <w:rStyle w:val="FootnoteReference"/>
        </w:rPr>
        <w:footnoteRef/>
      </w:r>
      <w:r>
        <w:t xml:space="preserve"> </w:t>
      </w:r>
      <w:r w:rsidRPr="00414C32">
        <w:rPr>
          <w:rFonts w:asciiTheme="majorHAnsi" w:hAnsiTheme="majorHAnsi"/>
          <w:sz w:val="18"/>
          <w:szCs w:val="18"/>
          <w:lang w:val="bg-BG"/>
        </w:rPr>
        <w:t>ОВ L 145, стp. 1, нарича</w:t>
      </w:r>
      <w:r>
        <w:rPr>
          <w:rFonts w:asciiTheme="majorHAnsi" w:hAnsiTheme="majorHAnsi"/>
          <w:sz w:val="18"/>
          <w:szCs w:val="18"/>
          <w:lang w:val="bg-BG"/>
        </w:rPr>
        <w:t>на по-нататък „Шеста директива“</w:t>
      </w:r>
    </w:p>
  </w:footnote>
  <w:footnote w:id="16">
    <w:p w:rsidR="00B03932" w:rsidRPr="00B03932" w:rsidRDefault="00B03932">
      <w:pPr>
        <w:pStyle w:val="FootnoteText"/>
        <w:rPr>
          <w:rFonts w:asciiTheme="majorHAnsi" w:hAnsiTheme="majorHAnsi"/>
          <w:sz w:val="18"/>
          <w:szCs w:val="18"/>
          <w:lang w:val="bg-BG"/>
        </w:rPr>
      </w:pPr>
      <w:r>
        <w:rPr>
          <w:rStyle w:val="FootnoteReference"/>
        </w:rPr>
        <w:footnoteRef/>
      </w:r>
      <w:r>
        <w:t xml:space="preserve"> </w:t>
      </w:r>
      <w:r w:rsidRPr="00B03932">
        <w:rPr>
          <w:rFonts w:asciiTheme="majorHAnsi" w:hAnsiTheme="majorHAnsi"/>
          <w:sz w:val="18"/>
          <w:szCs w:val="18"/>
          <w:lang w:val="bg-BG"/>
        </w:rPr>
        <w:t>данъчна администрация в гр. Линц, наричана по-нат</w:t>
      </w:r>
      <w:r>
        <w:rPr>
          <w:rFonts w:asciiTheme="majorHAnsi" w:hAnsiTheme="majorHAnsi"/>
          <w:sz w:val="18"/>
          <w:szCs w:val="18"/>
          <w:lang w:val="bg-BG"/>
        </w:rPr>
        <w:t>атък „Unabhängiger Finanzsenat“</w:t>
      </w:r>
    </w:p>
  </w:footnote>
  <w:footnote w:id="17">
    <w:p w:rsidR="00B03932" w:rsidRPr="00B03932" w:rsidRDefault="00B03932">
      <w:pPr>
        <w:pStyle w:val="FootnoteText"/>
        <w:rPr>
          <w:lang w:val="bg-BG"/>
        </w:rPr>
      </w:pPr>
      <w:r>
        <w:rPr>
          <w:rStyle w:val="FootnoteReference"/>
        </w:rPr>
        <w:footnoteRef/>
      </w:r>
      <w:r>
        <w:t xml:space="preserve"> </w:t>
      </w:r>
      <w:r>
        <w:rPr>
          <w:rFonts w:asciiTheme="majorHAnsi" w:hAnsiTheme="majorHAnsi"/>
          <w:sz w:val="18"/>
          <w:szCs w:val="18"/>
          <w:lang w:val="bg-BG"/>
        </w:rPr>
        <w:t>наричан по-нататък „ДДС“</w:t>
      </w:r>
    </w:p>
  </w:footnote>
  <w:footnote w:id="18">
    <w:p w:rsidR="001010DC" w:rsidRPr="001010DC" w:rsidRDefault="001010DC">
      <w:pPr>
        <w:pStyle w:val="FootnoteText"/>
        <w:rPr>
          <w:lang w:val="bg-BG"/>
        </w:rPr>
      </w:pPr>
      <w:r>
        <w:rPr>
          <w:rStyle w:val="FootnoteReference"/>
        </w:rPr>
        <w:footnoteRef/>
      </w:r>
      <w:r>
        <w:t xml:space="preserve"> </w:t>
      </w:r>
      <w:hyperlink r:id="rId8" w:history="1">
        <w:r w:rsidRPr="00414C32">
          <w:rPr>
            <w:rStyle w:val="Hyperlink"/>
            <w:sz w:val="16"/>
            <w:szCs w:val="16"/>
          </w:rPr>
          <w:t>http://stateaid.minfin.bg/bg/page/470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7B" w:rsidRDefault="00692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7B" w:rsidRDefault="00692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7B" w:rsidRDefault="00692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5">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6D93D9E"/>
    <w:multiLevelType w:val="hybridMultilevel"/>
    <w:tmpl w:val="31BA1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87A00AE"/>
    <w:multiLevelType w:val="hybridMultilevel"/>
    <w:tmpl w:val="664E1D9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4">
    <w:nsid w:val="67E5049D"/>
    <w:multiLevelType w:val="hybridMultilevel"/>
    <w:tmpl w:val="B47ED6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6">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3"/>
  </w:num>
  <w:num w:numId="4">
    <w:abstractNumId w:val="16"/>
  </w:num>
  <w:num w:numId="5">
    <w:abstractNumId w:val="13"/>
  </w:num>
  <w:num w:numId="6">
    <w:abstractNumId w:val="15"/>
  </w:num>
  <w:num w:numId="7">
    <w:abstractNumId w:val="1"/>
  </w:num>
  <w:num w:numId="8">
    <w:abstractNumId w:val="10"/>
  </w:num>
  <w:num w:numId="9">
    <w:abstractNumId w:val="5"/>
  </w:num>
  <w:num w:numId="10">
    <w:abstractNumId w:val="2"/>
  </w:num>
  <w:num w:numId="11">
    <w:abstractNumId w:val="7"/>
  </w:num>
  <w:num w:numId="12">
    <w:abstractNumId w:val="14"/>
  </w:num>
  <w:num w:numId="13">
    <w:abstractNumId w:val="0"/>
  </w:num>
  <w:num w:numId="14">
    <w:abstractNumId w:val="4"/>
  </w:num>
  <w:num w:numId="15">
    <w:abstractNumId w:val="6"/>
  </w:num>
  <w:num w:numId="16">
    <w:abstractNumId w:val="9"/>
  </w:num>
  <w:num w:numId="17">
    <w:abstractNumId w:val="1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58CF"/>
    <w:rsid w:val="00012C0E"/>
    <w:rsid w:val="000151AA"/>
    <w:rsid w:val="00021CEE"/>
    <w:rsid w:val="00023FF2"/>
    <w:rsid w:val="0003786D"/>
    <w:rsid w:val="00041153"/>
    <w:rsid w:val="00043A83"/>
    <w:rsid w:val="00056277"/>
    <w:rsid w:val="00080E53"/>
    <w:rsid w:val="00084573"/>
    <w:rsid w:val="000A3F80"/>
    <w:rsid w:val="000A611B"/>
    <w:rsid w:val="000A7D4C"/>
    <w:rsid w:val="000C07DF"/>
    <w:rsid w:val="000C154F"/>
    <w:rsid w:val="000C2648"/>
    <w:rsid w:val="000C61D1"/>
    <w:rsid w:val="000F3959"/>
    <w:rsid w:val="001010DC"/>
    <w:rsid w:val="0010307A"/>
    <w:rsid w:val="00103560"/>
    <w:rsid w:val="00105FEA"/>
    <w:rsid w:val="00106470"/>
    <w:rsid w:val="001148EC"/>
    <w:rsid w:val="001169C5"/>
    <w:rsid w:val="001356D7"/>
    <w:rsid w:val="00144B74"/>
    <w:rsid w:val="00151C91"/>
    <w:rsid w:val="001611EA"/>
    <w:rsid w:val="001668D3"/>
    <w:rsid w:val="001675C8"/>
    <w:rsid w:val="00191772"/>
    <w:rsid w:val="00194CE2"/>
    <w:rsid w:val="001A1ABA"/>
    <w:rsid w:val="001A3715"/>
    <w:rsid w:val="001B18FB"/>
    <w:rsid w:val="001B6FA6"/>
    <w:rsid w:val="001C1036"/>
    <w:rsid w:val="001C3C92"/>
    <w:rsid w:val="001E54D3"/>
    <w:rsid w:val="001E6F89"/>
    <w:rsid w:val="001F3C0D"/>
    <w:rsid w:val="001F5EF5"/>
    <w:rsid w:val="001F7BED"/>
    <w:rsid w:val="00217E3E"/>
    <w:rsid w:val="002205B3"/>
    <w:rsid w:val="00221E6C"/>
    <w:rsid w:val="00223248"/>
    <w:rsid w:val="00223DF5"/>
    <w:rsid w:val="00226CF9"/>
    <w:rsid w:val="00237BB3"/>
    <w:rsid w:val="002414F2"/>
    <w:rsid w:val="002436CF"/>
    <w:rsid w:val="00244E00"/>
    <w:rsid w:val="00254B9E"/>
    <w:rsid w:val="00272E8D"/>
    <w:rsid w:val="00274B65"/>
    <w:rsid w:val="00277C63"/>
    <w:rsid w:val="0029002F"/>
    <w:rsid w:val="00293E64"/>
    <w:rsid w:val="00296E5D"/>
    <w:rsid w:val="002B2F13"/>
    <w:rsid w:val="002B4B45"/>
    <w:rsid w:val="002C6062"/>
    <w:rsid w:val="002D5064"/>
    <w:rsid w:val="002D78BA"/>
    <w:rsid w:val="002E11DB"/>
    <w:rsid w:val="002E475B"/>
    <w:rsid w:val="00307D73"/>
    <w:rsid w:val="00312E7C"/>
    <w:rsid w:val="00315228"/>
    <w:rsid w:val="00327A9C"/>
    <w:rsid w:val="00347BCE"/>
    <w:rsid w:val="003655C7"/>
    <w:rsid w:val="00366F2A"/>
    <w:rsid w:val="0039232C"/>
    <w:rsid w:val="00396AD9"/>
    <w:rsid w:val="003A40A8"/>
    <w:rsid w:val="003A5E77"/>
    <w:rsid w:val="003B1ECD"/>
    <w:rsid w:val="003D6C83"/>
    <w:rsid w:val="003E2DAD"/>
    <w:rsid w:val="003F0430"/>
    <w:rsid w:val="003F1ED1"/>
    <w:rsid w:val="003F532F"/>
    <w:rsid w:val="00401ED6"/>
    <w:rsid w:val="00405B3D"/>
    <w:rsid w:val="00406AD9"/>
    <w:rsid w:val="00413441"/>
    <w:rsid w:val="00414C32"/>
    <w:rsid w:val="00416881"/>
    <w:rsid w:val="00430ABF"/>
    <w:rsid w:val="0043205F"/>
    <w:rsid w:val="00436425"/>
    <w:rsid w:val="00441A03"/>
    <w:rsid w:val="00453E29"/>
    <w:rsid w:val="004627DA"/>
    <w:rsid w:val="00470A6B"/>
    <w:rsid w:val="00471662"/>
    <w:rsid w:val="004867F8"/>
    <w:rsid w:val="0049293C"/>
    <w:rsid w:val="00496355"/>
    <w:rsid w:val="004B0998"/>
    <w:rsid w:val="004C34C8"/>
    <w:rsid w:val="004E6704"/>
    <w:rsid w:val="004F2C7A"/>
    <w:rsid w:val="00502E8A"/>
    <w:rsid w:val="005071B8"/>
    <w:rsid w:val="005136E9"/>
    <w:rsid w:val="00515CF5"/>
    <w:rsid w:val="0051714C"/>
    <w:rsid w:val="00525711"/>
    <w:rsid w:val="005306BC"/>
    <w:rsid w:val="00544E70"/>
    <w:rsid w:val="00551C11"/>
    <w:rsid w:val="00552457"/>
    <w:rsid w:val="00554ADB"/>
    <w:rsid w:val="00556BCA"/>
    <w:rsid w:val="0055738A"/>
    <w:rsid w:val="00585E7C"/>
    <w:rsid w:val="005A3F27"/>
    <w:rsid w:val="005B06E9"/>
    <w:rsid w:val="005B3F43"/>
    <w:rsid w:val="005D0349"/>
    <w:rsid w:val="005D2048"/>
    <w:rsid w:val="005D6D95"/>
    <w:rsid w:val="005E53D3"/>
    <w:rsid w:val="005E5F13"/>
    <w:rsid w:val="005E719D"/>
    <w:rsid w:val="00606A46"/>
    <w:rsid w:val="00622C1F"/>
    <w:rsid w:val="00635EC4"/>
    <w:rsid w:val="00646B82"/>
    <w:rsid w:val="0064722D"/>
    <w:rsid w:val="00661E4D"/>
    <w:rsid w:val="00661FB6"/>
    <w:rsid w:val="00671703"/>
    <w:rsid w:val="00674A97"/>
    <w:rsid w:val="00675780"/>
    <w:rsid w:val="00676CCC"/>
    <w:rsid w:val="006770AA"/>
    <w:rsid w:val="00684BB5"/>
    <w:rsid w:val="0069247B"/>
    <w:rsid w:val="006A40AA"/>
    <w:rsid w:val="006A4736"/>
    <w:rsid w:val="006A5E2B"/>
    <w:rsid w:val="006B2469"/>
    <w:rsid w:val="006B55ED"/>
    <w:rsid w:val="006B6315"/>
    <w:rsid w:val="006C3D75"/>
    <w:rsid w:val="006C787F"/>
    <w:rsid w:val="006E70C0"/>
    <w:rsid w:val="006F3988"/>
    <w:rsid w:val="00704B8B"/>
    <w:rsid w:val="00704B90"/>
    <w:rsid w:val="0071027A"/>
    <w:rsid w:val="007202A8"/>
    <w:rsid w:val="00721DCC"/>
    <w:rsid w:val="00741D0C"/>
    <w:rsid w:val="0076227A"/>
    <w:rsid w:val="00763384"/>
    <w:rsid w:val="00766F27"/>
    <w:rsid w:val="007719F2"/>
    <w:rsid w:val="0077299F"/>
    <w:rsid w:val="00772F29"/>
    <w:rsid w:val="007756F1"/>
    <w:rsid w:val="007953C4"/>
    <w:rsid w:val="007A3EC0"/>
    <w:rsid w:val="007A4C51"/>
    <w:rsid w:val="007A75A7"/>
    <w:rsid w:val="007B6133"/>
    <w:rsid w:val="007D3F51"/>
    <w:rsid w:val="007E26BF"/>
    <w:rsid w:val="007F29EC"/>
    <w:rsid w:val="007F60B0"/>
    <w:rsid w:val="008007D2"/>
    <w:rsid w:val="008046B3"/>
    <w:rsid w:val="0081255B"/>
    <w:rsid w:val="008342C8"/>
    <w:rsid w:val="008450E3"/>
    <w:rsid w:val="00850A6F"/>
    <w:rsid w:val="00852329"/>
    <w:rsid w:val="008554D1"/>
    <w:rsid w:val="00863408"/>
    <w:rsid w:val="008648D0"/>
    <w:rsid w:val="0087039C"/>
    <w:rsid w:val="00873122"/>
    <w:rsid w:val="00874614"/>
    <w:rsid w:val="00886587"/>
    <w:rsid w:val="00895AF8"/>
    <w:rsid w:val="00897C0A"/>
    <w:rsid w:val="008A060D"/>
    <w:rsid w:val="008B5D9B"/>
    <w:rsid w:val="008B7417"/>
    <w:rsid w:val="008E693E"/>
    <w:rsid w:val="00906305"/>
    <w:rsid w:val="00961BDC"/>
    <w:rsid w:val="00961F95"/>
    <w:rsid w:val="0096655D"/>
    <w:rsid w:val="00967C78"/>
    <w:rsid w:val="009701F4"/>
    <w:rsid w:val="009732A7"/>
    <w:rsid w:val="0098276F"/>
    <w:rsid w:val="00985098"/>
    <w:rsid w:val="00992A52"/>
    <w:rsid w:val="00995618"/>
    <w:rsid w:val="009A1210"/>
    <w:rsid w:val="009A23A9"/>
    <w:rsid w:val="009A4EF0"/>
    <w:rsid w:val="009A58BD"/>
    <w:rsid w:val="009B1A95"/>
    <w:rsid w:val="009B2F90"/>
    <w:rsid w:val="009B64C9"/>
    <w:rsid w:val="009B78BB"/>
    <w:rsid w:val="009C131F"/>
    <w:rsid w:val="009C3E6D"/>
    <w:rsid w:val="009C59C5"/>
    <w:rsid w:val="009C6163"/>
    <w:rsid w:val="009E1E13"/>
    <w:rsid w:val="009F01D2"/>
    <w:rsid w:val="009F0DB9"/>
    <w:rsid w:val="009F46EF"/>
    <w:rsid w:val="009F6284"/>
    <w:rsid w:val="009F6878"/>
    <w:rsid w:val="009F6E30"/>
    <w:rsid w:val="00A00D02"/>
    <w:rsid w:val="00A1030D"/>
    <w:rsid w:val="00A124B7"/>
    <w:rsid w:val="00A15D6F"/>
    <w:rsid w:val="00A25E74"/>
    <w:rsid w:val="00A37330"/>
    <w:rsid w:val="00A42F28"/>
    <w:rsid w:val="00A433A7"/>
    <w:rsid w:val="00A523F8"/>
    <w:rsid w:val="00A5407C"/>
    <w:rsid w:val="00A559B7"/>
    <w:rsid w:val="00A60704"/>
    <w:rsid w:val="00A66122"/>
    <w:rsid w:val="00A74C35"/>
    <w:rsid w:val="00A82565"/>
    <w:rsid w:val="00A965D4"/>
    <w:rsid w:val="00AA0114"/>
    <w:rsid w:val="00AA7C15"/>
    <w:rsid w:val="00AB3D53"/>
    <w:rsid w:val="00B00251"/>
    <w:rsid w:val="00B03932"/>
    <w:rsid w:val="00B051DE"/>
    <w:rsid w:val="00B058B2"/>
    <w:rsid w:val="00B11922"/>
    <w:rsid w:val="00B11A79"/>
    <w:rsid w:val="00B17FED"/>
    <w:rsid w:val="00B23553"/>
    <w:rsid w:val="00B36DC5"/>
    <w:rsid w:val="00B42EFD"/>
    <w:rsid w:val="00B434AB"/>
    <w:rsid w:val="00B529EE"/>
    <w:rsid w:val="00B55FC0"/>
    <w:rsid w:val="00B561BA"/>
    <w:rsid w:val="00B6473C"/>
    <w:rsid w:val="00B66B33"/>
    <w:rsid w:val="00B70CC5"/>
    <w:rsid w:val="00B81308"/>
    <w:rsid w:val="00B83E31"/>
    <w:rsid w:val="00B84B38"/>
    <w:rsid w:val="00B8652D"/>
    <w:rsid w:val="00B94F8F"/>
    <w:rsid w:val="00B95E8D"/>
    <w:rsid w:val="00B97854"/>
    <w:rsid w:val="00BA535B"/>
    <w:rsid w:val="00BA6AA4"/>
    <w:rsid w:val="00BC7312"/>
    <w:rsid w:val="00BD570D"/>
    <w:rsid w:val="00BE2686"/>
    <w:rsid w:val="00BE7830"/>
    <w:rsid w:val="00C02B13"/>
    <w:rsid w:val="00C0313F"/>
    <w:rsid w:val="00C03B87"/>
    <w:rsid w:val="00C05816"/>
    <w:rsid w:val="00C11CA8"/>
    <w:rsid w:val="00C326BE"/>
    <w:rsid w:val="00C36A02"/>
    <w:rsid w:val="00C43ECF"/>
    <w:rsid w:val="00C44505"/>
    <w:rsid w:val="00C5337F"/>
    <w:rsid w:val="00C5534F"/>
    <w:rsid w:val="00C702E5"/>
    <w:rsid w:val="00C73903"/>
    <w:rsid w:val="00C84013"/>
    <w:rsid w:val="00C84271"/>
    <w:rsid w:val="00C900C3"/>
    <w:rsid w:val="00C91E51"/>
    <w:rsid w:val="00C95476"/>
    <w:rsid w:val="00CA3615"/>
    <w:rsid w:val="00CC1C32"/>
    <w:rsid w:val="00CD07F8"/>
    <w:rsid w:val="00CD1384"/>
    <w:rsid w:val="00CD399E"/>
    <w:rsid w:val="00CE548F"/>
    <w:rsid w:val="00CF720A"/>
    <w:rsid w:val="00CF7709"/>
    <w:rsid w:val="00D10EF5"/>
    <w:rsid w:val="00D11708"/>
    <w:rsid w:val="00D15619"/>
    <w:rsid w:val="00D3530B"/>
    <w:rsid w:val="00D36BF9"/>
    <w:rsid w:val="00D37D52"/>
    <w:rsid w:val="00D44C82"/>
    <w:rsid w:val="00D624BD"/>
    <w:rsid w:val="00D84B17"/>
    <w:rsid w:val="00D9525C"/>
    <w:rsid w:val="00D960A3"/>
    <w:rsid w:val="00DA6938"/>
    <w:rsid w:val="00DB7437"/>
    <w:rsid w:val="00DB79A1"/>
    <w:rsid w:val="00DC0ABC"/>
    <w:rsid w:val="00DC57C7"/>
    <w:rsid w:val="00DC65EC"/>
    <w:rsid w:val="00DD00AE"/>
    <w:rsid w:val="00DE19AC"/>
    <w:rsid w:val="00DE42A3"/>
    <w:rsid w:val="00DE790D"/>
    <w:rsid w:val="00DF1929"/>
    <w:rsid w:val="00DF3C0D"/>
    <w:rsid w:val="00DF5470"/>
    <w:rsid w:val="00E10E43"/>
    <w:rsid w:val="00E16F09"/>
    <w:rsid w:val="00E231A6"/>
    <w:rsid w:val="00E239F6"/>
    <w:rsid w:val="00E44E85"/>
    <w:rsid w:val="00E61855"/>
    <w:rsid w:val="00E634C6"/>
    <w:rsid w:val="00E6540F"/>
    <w:rsid w:val="00E704CC"/>
    <w:rsid w:val="00E81C8D"/>
    <w:rsid w:val="00E849E7"/>
    <w:rsid w:val="00E931DD"/>
    <w:rsid w:val="00EA59BB"/>
    <w:rsid w:val="00EA71FB"/>
    <w:rsid w:val="00EA793C"/>
    <w:rsid w:val="00EB0B3D"/>
    <w:rsid w:val="00EB4099"/>
    <w:rsid w:val="00EC0A34"/>
    <w:rsid w:val="00EC1A8B"/>
    <w:rsid w:val="00ED1E45"/>
    <w:rsid w:val="00ED5BA6"/>
    <w:rsid w:val="00EE0C42"/>
    <w:rsid w:val="00EE38A6"/>
    <w:rsid w:val="00EE53EA"/>
    <w:rsid w:val="00EE5E22"/>
    <w:rsid w:val="00EE5E6D"/>
    <w:rsid w:val="00EE7962"/>
    <w:rsid w:val="00EE7B8F"/>
    <w:rsid w:val="00F03BD2"/>
    <w:rsid w:val="00F1425D"/>
    <w:rsid w:val="00F228EC"/>
    <w:rsid w:val="00F33206"/>
    <w:rsid w:val="00F425A1"/>
    <w:rsid w:val="00F62660"/>
    <w:rsid w:val="00F63422"/>
    <w:rsid w:val="00F80599"/>
    <w:rsid w:val="00F81382"/>
    <w:rsid w:val="00F93941"/>
    <w:rsid w:val="00FA6A64"/>
    <w:rsid w:val="00FA7855"/>
    <w:rsid w:val="00FB0DA1"/>
    <w:rsid w:val="00FB401D"/>
    <w:rsid w:val="00FB72EB"/>
    <w:rsid w:val="00FC78D4"/>
    <w:rsid w:val="00FD21C8"/>
    <w:rsid w:val="00FD2DB1"/>
    <w:rsid w:val="00FD303A"/>
    <w:rsid w:val="00FD7E5C"/>
    <w:rsid w:val="00FE3148"/>
    <w:rsid w:val="00FE3743"/>
    <w:rsid w:val="00FE664B"/>
    <w:rsid w:val="00FF56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basedOn w:val="Normal"/>
    <w:link w:val="HeaderChar"/>
    <w:uiPriority w:val="99"/>
    <w:unhideWhenUsed/>
    <w:rsid w:val="00772F29"/>
    <w:pPr>
      <w:tabs>
        <w:tab w:val="center" w:pos="4536"/>
        <w:tab w:val="right" w:pos="9072"/>
      </w:tabs>
    </w:pPr>
  </w:style>
  <w:style w:type="character" w:customStyle="1" w:styleId="HeaderChar">
    <w:name w:val="Header Char"/>
    <w:basedOn w:val="DefaultParagraphFont"/>
    <w:link w:val="Header"/>
    <w:uiPriority w:val="99"/>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iPriority w:val="99"/>
    <w:semiHidden/>
    <w:unhideWhenUsed/>
    <w:rsid w:val="00D10EF5"/>
  </w:style>
  <w:style w:type="character" w:customStyle="1" w:styleId="FootnoteTextChar">
    <w:name w:val="Footnote Text Char"/>
    <w:basedOn w:val="DefaultParagraphFont"/>
    <w:link w:val="FootnoteText"/>
    <w:uiPriority w:val="99"/>
    <w:semiHidden/>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iPriority w:val="99"/>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character" w:customStyle="1" w:styleId="hps">
    <w:name w:val="hps"/>
    <w:basedOn w:val="DefaultParagraphFont"/>
    <w:rsid w:val="007756F1"/>
  </w:style>
  <w:style w:type="paragraph" w:customStyle="1" w:styleId="SUPERSChar">
    <w:name w:val="SUPERS Char"/>
    <w:aliases w:val="EN Footnote Reference Char"/>
    <w:basedOn w:val="Normal"/>
    <w:link w:val="FootnoteReference"/>
    <w:uiPriority w:val="99"/>
    <w:rsid w:val="00C5337F"/>
    <w:pPr>
      <w:spacing w:after="160" w:line="240" w:lineRule="exact"/>
    </w:pPr>
    <w:rPr>
      <w:rFonts w:asciiTheme="minorHAnsi" w:eastAsiaTheme="minorHAnsi" w:hAnsiTheme="minorHAnsi" w:cstheme="minorBidi"/>
      <w:sz w:val="22"/>
      <w:szCs w:val="22"/>
      <w:vertAlign w:val="superscript"/>
      <w:lang w:val="bg-BG" w:eastAsia="en-US"/>
    </w:rPr>
  </w:style>
  <w:style w:type="paragraph" w:customStyle="1" w:styleId="c02alineaalta">
    <w:name w:val="c02alineaalta"/>
    <w:basedOn w:val="Normal"/>
    <w:rsid w:val="007A75A7"/>
    <w:pPr>
      <w:spacing w:after="240"/>
      <w:ind w:left="567"/>
      <w:jc w:val="both"/>
    </w:pPr>
    <w:rPr>
      <w:sz w:val="24"/>
      <w:szCs w:val="24"/>
      <w:lang w:val="bg-BG"/>
    </w:rPr>
  </w:style>
  <w:style w:type="paragraph" w:customStyle="1" w:styleId="c19centre">
    <w:name w:val="c19centre"/>
    <w:basedOn w:val="Normal"/>
    <w:rsid w:val="007F60B0"/>
    <w:pPr>
      <w:spacing w:after="240"/>
      <w:ind w:left="567"/>
      <w:jc w:val="center"/>
    </w:pPr>
    <w:rPr>
      <w:sz w:val="24"/>
      <w:szCs w:val="24"/>
      <w:lang w:val="bg-BG"/>
    </w:rPr>
  </w:style>
  <w:style w:type="paragraph" w:customStyle="1" w:styleId="c71indicateur">
    <w:name w:val="c71indicateur"/>
    <w:basedOn w:val="Normal"/>
    <w:rsid w:val="007F60B0"/>
    <w:pPr>
      <w:spacing w:before="600" w:after="560"/>
      <w:ind w:left="567"/>
      <w:jc w:val="center"/>
    </w:pPr>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basedOn w:val="Normal"/>
    <w:link w:val="HeaderChar"/>
    <w:uiPriority w:val="99"/>
    <w:unhideWhenUsed/>
    <w:rsid w:val="00772F29"/>
    <w:pPr>
      <w:tabs>
        <w:tab w:val="center" w:pos="4536"/>
        <w:tab w:val="right" w:pos="9072"/>
      </w:tabs>
    </w:pPr>
  </w:style>
  <w:style w:type="character" w:customStyle="1" w:styleId="HeaderChar">
    <w:name w:val="Header Char"/>
    <w:basedOn w:val="DefaultParagraphFont"/>
    <w:link w:val="Header"/>
    <w:uiPriority w:val="99"/>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iPriority w:val="99"/>
    <w:semiHidden/>
    <w:unhideWhenUsed/>
    <w:rsid w:val="00D10EF5"/>
  </w:style>
  <w:style w:type="character" w:customStyle="1" w:styleId="FootnoteTextChar">
    <w:name w:val="Footnote Text Char"/>
    <w:basedOn w:val="DefaultParagraphFont"/>
    <w:link w:val="FootnoteText"/>
    <w:uiPriority w:val="99"/>
    <w:semiHidden/>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iPriority w:val="99"/>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character" w:customStyle="1" w:styleId="hps">
    <w:name w:val="hps"/>
    <w:basedOn w:val="DefaultParagraphFont"/>
    <w:rsid w:val="007756F1"/>
  </w:style>
  <w:style w:type="paragraph" w:customStyle="1" w:styleId="SUPERSChar">
    <w:name w:val="SUPERS Char"/>
    <w:aliases w:val="EN Footnote Reference Char"/>
    <w:basedOn w:val="Normal"/>
    <w:link w:val="FootnoteReference"/>
    <w:uiPriority w:val="99"/>
    <w:rsid w:val="00C5337F"/>
    <w:pPr>
      <w:spacing w:after="160" w:line="240" w:lineRule="exact"/>
    </w:pPr>
    <w:rPr>
      <w:rFonts w:asciiTheme="minorHAnsi" w:eastAsiaTheme="minorHAnsi" w:hAnsiTheme="minorHAnsi" w:cstheme="minorBidi"/>
      <w:sz w:val="22"/>
      <w:szCs w:val="22"/>
      <w:vertAlign w:val="superscript"/>
      <w:lang w:val="bg-BG" w:eastAsia="en-US"/>
    </w:rPr>
  </w:style>
  <w:style w:type="paragraph" w:customStyle="1" w:styleId="c02alineaalta">
    <w:name w:val="c02alineaalta"/>
    <w:basedOn w:val="Normal"/>
    <w:rsid w:val="007A75A7"/>
    <w:pPr>
      <w:spacing w:after="240"/>
      <w:ind w:left="567"/>
      <w:jc w:val="both"/>
    </w:pPr>
    <w:rPr>
      <w:sz w:val="24"/>
      <w:szCs w:val="24"/>
      <w:lang w:val="bg-BG"/>
    </w:rPr>
  </w:style>
  <w:style w:type="paragraph" w:customStyle="1" w:styleId="c19centre">
    <w:name w:val="c19centre"/>
    <w:basedOn w:val="Normal"/>
    <w:rsid w:val="007F60B0"/>
    <w:pPr>
      <w:spacing w:after="240"/>
      <w:ind w:left="567"/>
      <w:jc w:val="center"/>
    </w:pPr>
    <w:rPr>
      <w:sz w:val="24"/>
      <w:szCs w:val="24"/>
      <w:lang w:val="bg-BG"/>
    </w:rPr>
  </w:style>
  <w:style w:type="paragraph" w:customStyle="1" w:styleId="c71indicateur">
    <w:name w:val="c71indicateur"/>
    <w:basedOn w:val="Normal"/>
    <w:rsid w:val="007F60B0"/>
    <w:pPr>
      <w:spacing w:before="600" w:after="560"/>
      <w:ind w:left="567"/>
      <w:jc w:val="center"/>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79">
      <w:bodyDiv w:val="1"/>
      <w:marLeft w:val="0"/>
      <w:marRight w:val="0"/>
      <w:marTop w:val="0"/>
      <w:marBottom w:val="0"/>
      <w:divBdr>
        <w:top w:val="none" w:sz="0" w:space="0" w:color="auto"/>
        <w:left w:val="none" w:sz="0" w:space="0" w:color="auto"/>
        <w:bottom w:val="none" w:sz="0" w:space="0" w:color="auto"/>
        <w:right w:val="none" w:sz="0" w:space="0" w:color="auto"/>
      </w:divBdr>
    </w:div>
    <w:div w:id="110706627">
      <w:bodyDiv w:val="1"/>
      <w:marLeft w:val="0"/>
      <w:marRight w:val="0"/>
      <w:marTop w:val="0"/>
      <w:marBottom w:val="0"/>
      <w:divBdr>
        <w:top w:val="none" w:sz="0" w:space="0" w:color="auto"/>
        <w:left w:val="none" w:sz="0" w:space="0" w:color="auto"/>
        <w:bottom w:val="none" w:sz="0" w:space="0" w:color="auto"/>
        <w:right w:val="none" w:sz="0" w:space="0" w:color="auto"/>
      </w:divBdr>
    </w:div>
    <w:div w:id="720665711">
      <w:bodyDiv w:val="1"/>
      <w:marLeft w:val="0"/>
      <w:marRight w:val="0"/>
      <w:marTop w:val="0"/>
      <w:marBottom w:val="0"/>
      <w:divBdr>
        <w:top w:val="none" w:sz="0" w:space="0" w:color="auto"/>
        <w:left w:val="none" w:sz="0" w:space="0" w:color="auto"/>
        <w:bottom w:val="none" w:sz="0" w:space="0" w:color="auto"/>
        <w:right w:val="none" w:sz="0" w:space="0" w:color="auto"/>
      </w:divBdr>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870339951">
      <w:bodyDiv w:val="1"/>
      <w:marLeft w:val="0"/>
      <w:marRight w:val="0"/>
      <w:marTop w:val="0"/>
      <w:marBottom w:val="0"/>
      <w:divBdr>
        <w:top w:val="none" w:sz="0" w:space="0" w:color="auto"/>
        <w:left w:val="none" w:sz="0" w:space="0" w:color="auto"/>
        <w:bottom w:val="none" w:sz="0" w:space="0" w:color="auto"/>
        <w:right w:val="none" w:sz="0" w:space="0" w:color="auto"/>
      </w:divBdr>
      <w:divsChild>
        <w:div w:id="1011446286">
          <w:marLeft w:val="0"/>
          <w:marRight w:val="0"/>
          <w:marTop w:val="0"/>
          <w:marBottom w:val="0"/>
          <w:divBdr>
            <w:top w:val="none" w:sz="0" w:space="0" w:color="auto"/>
            <w:left w:val="none" w:sz="0" w:space="0" w:color="auto"/>
            <w:bottom w:val="none" w:sz="0" w:space="0" w:color="auto"/>
            <w:right w:val="none" w:sz="0" w:space="0" w:color="auto"/>
          </w:divBdr>
          <w:divsChild>
            <w:div w:id="1530755756">
              <w:marLeft w:val="0"/>
              <w:marRight w:val="0"/>
              <w:marTop w:val="0"/>
              <w:marBottom w:val="0"/>
              <w:divBdr>
                <w:top w:val="none" w:sz="0" w:space="0" w:color="auto"/>
                <w:left w:val="none" w:sz="0" w:space="0" w:color="auto"/>
                <w:bottom w:val="none" w:sz="0" w:space="0" w:color="auto"/>
                <w:right w:val="none" w:sz="0" w:space="0" w:color="auto"/>
              </w:divBdr>
              <w:divsChild>
                <w:div w:id="336348828">
                  <w:marLeft w:val="0"/>
                  <w:marRight w:val="0"/>
                  <w:marTop w:val="0"/>
                  <w:marBottom w:val="0"/>
                  <w:divBdr>
                    <w:top w:val="none" w:sz="0" w:space="0" w:color="auto"/>
                    <w:left w:val="none" w:sz="0" w:space="0" w:color="auto"/>
                    <w:bottom w:val="none" w:sz="0" w:space="0" w:color="auto"/>
                    <w:right w:val="none" w:sz="0" w:space="0" w:color="auto"/>
                  </w:divBdr>
                  <w:divsChild>
                    <w:div w:id="4151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450743">
      <w:bodyDiv w:val="1"/>
      <w:marLeft w:val="0"/>
      <w:marRight w:val="0"/>
      <w:marTop w:val="0"/>
      <w:marBottom w:val="0"/>
      <w:divBdr>
        <w:top w:val="none" w:sz="0" w:space="0" w:color="auto"/>
        <w:left w:val="none" w:sz="0" w:space="0" w:color="auto"/>
        <w:bottom w:val="none" w:sz="0" w:space="0" w:color="auto"/>
        <w:right w:val="none" w:sz="0" w:space="0" w:color="auto"/>
      </w:divBdr>
    </w:div>
    <w:div w:id="2086294134">
      <w:bodyDiv w:val="1"/>
      <w:marLeft w:val="0"/>
      <w:marRight w:val="0"/>
      <w:marTop w:val="0"/>
      <w:marBottom w:val="0"/>
      <w:divBdr>
        <w:top w:val="none" w:sz="0" w:space="0" w:color="auto"/>
        <w:left w:val="none" w:sz="0" w:space="0" w:color="auto"/>
        <w:bottom w:val="none" w:sz="0" w:space="0" w:color="auto"/>
        <w:right w:val="none" w:sz="0" w:space="0" w:color="auto"/>
      </w:divBdr>
      <w:divsChild>
        <w:div w:id="1645162806">
          <w:marLeft w:val="0"/>
          <w:marRight w:val="0"/>
          <w:marTop w:val="0"/>
          <w:marBottom w:val="0"/>
          <w:divBdr>
            <w:top w:val="none" w:sz="0" w:space="0" w:color="auto"/>
            <w:left w:val="none" w:sz="0" w:space="0" w:color="auto"/>
            <w:bottom w:val="none" w:sz="0" w:space="0" w:color="auto"/>
            <w:right w:val="none" w:sz="0" w:space="0" w:color="auto"/>
          </w:divBdr>
          <w:divsChild>
            <w:div w:id="179398339">
              <w:marLeft w:val="0"/>
              <w:marRight w:val="0"/>
              <w:marTop w:val="0"/>
              <w:marBottom w:val="0"/>
              <w:divBdr>
                <w:top w:val="none" w:sz="0" w:space="0" w:color="auto"/>
                <w:left w:val="none" w:sz="0" w:space="0" w:color="auto"/>
                <w:bottom w:val="none" w:sz="0" w:space="0" w:color="auto"/>
                <w:right w:val="none" w:sz="0" w:space="0" w:color="auto"/>
              </w:divBdr>
              <w:divsChild>
                <w:div w:id="1239752826">
                  <w:marLeft w:val="0"/>
                  <w:marRight w:val="0"/>
                  <w:marTop w:val="0"/>
                  <w:marBottom w:val="0"/>
                  <w:divBdr>
                    <w:top w:val="none" w:sz="0" w:space="0" w:color="auto"/>
                    <w:left w:val="none" w:sz="0" w:space="0" w:color="auto"/>
                    <w:bottom w:val="none" w:sz="0" w:space="0" w:color="auto"/>
                    <w:right w:val="none" w:sz="0" w:space="0" w:color="auto"/>
                  </w:divBdr>
                  <w:divsChild>
                    <w:div w:id="20995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tateaid.minfin.bg/bg/page/470" TargetMode="External"/><Relationship Id="rId3" Type="http://schemas.openxmlformats.org/officeDocument/2006/relationships/hyperlink" Target="http://stateaid.minfin.bg/bg/page/472" TargetMode="External"/><Relationship Id="rId7" Type="http://schemas.openxmlformats.org/officeDocument/2006/relationships/hyperlink" Target="http://www.jaspersnetwork.org/download/attachments/4947978/State%20Aid%20Cultural_infrastructures_Guidelines.pdf?version=1&amp;modificationDate=1366385068000&amp;api=v2" TargetMode="External"/><Relationship Id="rId2" Type="http://schemas.openxmlformats.org/officeDocument/2006/relationships/hyperlink" Target="http://stateaid.minfin.bg/bg/page/6" TargetMode="External"/><Relationship Id="rId1" Type="http://schemas.openxmlformats.org/officeDocument/2006/relationships/hyperlink" Target="http://ec.europa.eu/competition/state_aid/legislation/legislation.html" TargetMode="External"/><Relationship Id="rId6" Type="http://schemas.openxmlformats.org/officeDocument/2006/relationships/hyperlink" Target="http://www.lexxion.de/de/verlagsprogramm-konferenzen/state-aid-law/european-conference-state-aid-a-control-of-esi-funds.html" TargetMode="External"/><Relationship Id="rId5" Type="http://schemas.openxmlformats.org/officeDocument/2006/relationships/hyperlink" Target="http://stateaid.minfin.bg/bg/page/476" TargetMode="External"/><Relationship Id="rId4" Type="http://schemas.openxmlformats.org/officeDocument/2006/relationships/hyperlink" Target="http://stateaid.minfin.bg/bg/page/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6384-521A-42FF-A070-F25A3119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2015-04-20T08:07:00Z</cp:lastPrinted>
  <dcterms:created xsi:type="dcterms:W3CDTF">2015-08-31T07:17:00Z</dcterms:created>
  <dcterms:modified xsi:type="dcterms:W3CDTF">2015-08-31T07:17:00Z</dcterms:modified>
</cp:coreProperties>
</file>