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0A" w:rsidRDefault="0049510A" w:rsidP="00230DD7">
      <w:pPr>
        <w:pStyle w:val="NormalWeb"/>
        <w:jc w:val="both"/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</w:pPr>
      <w:r w:rsidRPr="0049510A"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  <w:t>Question:</w:t>
      </w:r>
    </w:p>
    <w:p w:rsidR="002105B5" w:rsidRPr="0049510A" w:rsidRDefault="002105B5" w:rsidP="00230DD7">
      <w:pPr>
        <w:pStyle w:val="NormalWeb"/>
        <w:jc w:val="both"/>
        <w:rPr>
          <w:rFonts w:ascii="Arial" w:hAnsi="Arial" w:cs="Arial"/>
          <w:b/>
          <w:color w:val="333333"/>
          <w:sz w:val="21"/>
          <w:szCs w:val="21"/>
          <w:u w:val="single"/>
          <w:lang w:val="en-US"/>
        </w:rPr>
      </w:pPr>
    </w:p>
    <w:p w:rsidR="001D1905" w:rsidRPr="001D1905" w:rsidRDefault="001D1905" w:rsidP="001D1905">
      <w:pPr>
        <w:pStyle w:val="NormalWeb"/>
        <w:spacing w:before="0"/>
        <w:jc w:val="both"/>
        <w:rPr>
          <w:rFonts w:eastAsiaTheme="minorHAnsi"/>
          <w:color w:val="333333"/>
        </w:rPr>
      </w:pPr>
      <w:proofErr w:type="spellStart"/>
      <w:r w:rsidRPr="001D1905">
        <w:rPr>
          <w:rStyle w:val="Emphasis"/>
          <w:bCs/>
          <w:i w:val="0"/>
          <w:color w:val="333333"/>
        </w:rPr>
        <w:t>According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to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Article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16(6) </w:t>
      </w:r>
      <w:proofErr w:type="spellStart"/>
      <w:r w:rsidRPr="001D1905">
        <w:rPr>
          <w:rStyle w:val="Emphasis"/>
          <w:bCs/>
          <w:i w:val="0"/>
          <w:color w:val="333333"/>
        </w:rPr>
        <w:t>of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GBER,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urban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development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aid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shall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leverage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additional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investment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from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private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investors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level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of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urban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development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funds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or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urban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development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projects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, </w:t>
      </w:r>
      <w:proofErr w:type="spellStart"/>
      <w:r w:rsidRPr="001D1905">
        <w:rPr>
          <w:rStyle w:val="Emphasis"/>
          <w:bCs/>
          <w:i w:val="0"/>
          <w:color w:val="333333"/>
        </w:rPr>
        <w:t>so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to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achieve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aggregate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amount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reaching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minimum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30 % </w:t>
      </w:r>
      <w:proofErr w:type="spellStart"/>
      <w:r w:rsidRPr="001D1905">
        <w:rPr>
          <w:rStyle w:val="Emphasis"/>
          <w:bCs/>
          <w:i w:val="0"/>
          <w:color w:val="333333"/>
          <w:u w:val="single"/>
        </w:rPr>
        <w:t>of</w:t>
      </w:r>
      <w:proofErr w:type="spellEnd"/>
      <w:r w:rsidRPr="001D1905">
        <w:rPr>
          <w:rStyle w:val="Emphasis"/>
          <w:bCs/>
          <w:i w:val="0"/>
          <w:color w:val="333333"/>
          <w:u w:val="single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  <w:u w:val="single"/>
        </w:rPr>
        <w:t>the</w:t>
      </w:r>
      <w:proofErr w:type="spellEnd"/>
      <w:r w:rsidRPr="001D1905">
        <w:rPr>
          <w:rStyle w:val="Emphasis"/>
          <w:bCs/>
          <w:i w:val="0"/>
          <w:color w:val="333333"/>
          <w:u w:val="single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  <w:u w:val="single"/>
        </w:rPr>
        <w:t>total</w:t>
      </w:r>
      <w:proofErr w:type="spellEnd"/>
      <w:r w:rsidRPr="001D1905">
        <w:rPr>
          <w:rStyle w:val="Emphasis"/>
          <w:bCs/>
          <w:i w:val="0"/>
          <w:color w:val="333333"/>
          <w:u w:val="single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  <w:u w:val="single"/>
        </w:rPr>
        <w:t>financing</w:t>
      </w:r>
      <w:proofErr w:type="spellEnd"/>
      <w:r w:rsidRPr="001D1905">
        <w:rPr>
          <w:rStyle w:val="Emphasis"/>
          <w:bCs/>
          <w:i w:val="0"/>
          <w:color w:val="333333"/>
          <w:u w:val="single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  <w:u w:val="single"/>
        </w:rPr>
        <w:t>provided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to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  <w:u w:val="single"/>
        </w:rPr>
        <w:t>an</w:t>
      </w:r>
      <w:proofErr w:type="spellEnd"/>
      <w:r w:rsidRPr="001D1905">
        <w:rPr>
          <w:rStyle w:val="Emphasis"/>
          <w:bCs/>
          <w:i w:val="0"/>
          <w:color w:val="333333"/>
          <w:u w:val="single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  <w:u w:val="single"/>
        </w:rPr>
        <w:t>urban</w:t>
      </w:r>
      <w:proofErr w:type="spellEnd"/>
      <w:r w:rsidRPr="001D1905">
        <w:rPr>
          <w:rStyle w:val="Emphasis"/>
          <w:bCs/>
          <w:i w:val="0"/>
          <w:color w:val="333333"/>
          <w:u w:val="single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  <w:u w:val="single"/>
        </w:rPr>
        <w:t>development</w:t>
      </w:r>
      <w:proofErr w:type="spellEnd"/>
      <w:r w:rsidRPr="001D1905">
        <w:rPr>
          <w:rStyle w:val="Emphasis"/>
          <w:bCs/>
          <w:i w:val="0"/>
          <w:color w:val="333333"/>
          <w:u w:val="single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  <w:u w:val="single"/>
        </w:rPr>
        <w:t>project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. </w:t>
      </w:r>
    </w:p>
    <w:p w:rsidR="001D1905" w:rsidRPr="001D1905" w:rsidRDefault="001D1905" w:rsidP="001D1905">
      <w:pPr>
        <w:pStyle w:val="NormalWeb"/>
        <w:jc w:val="both"/>
        <w:rPr>
          <w:color w:val="333333"/>
        </w:rPr>
      </w:pPr>
      <w:proofErr w:type="spellStart"/>
      <w:r w:rsidRPr="001D1905">
        <w:rPr>
          <w:rStyle w:val="Emphasis"/>
          <w:bCs/>
          <w:i w:val="0"/>
          <w:color w:val="333333"/>
        </w:rPr>
        <w:t>Considering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that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and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considering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eligible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forms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of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aid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specified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art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. 16, </w:t>
      </w:r>
      <w:proofErr w:type="spellStart"/>
      <w:r w:rsidRPr="001D1905">
        <w:rPr>
          <w:rStyle w:val="Emphasis"/>
          <w:bCs/>
          <w:i w:val="0"/>
          <w:color w:val="333333"/>
        </w:rPr>
        <w:t>par</w:t>
      </w:r>
      <w:proofErr w:type="spellEnd"/>
      <w:r w:rsidRPr="001D1905">
        <w:rPr>
          <w:rStyle w:val="Emphasis"/>
          <w:bCs/>
          <w:i w:val="0"/>
          <w:color w:val="333333"/>
        </w:rPr>
        <w:t xml:space="preserve">. 5 </w:t>
      </w:r>
      <w:proofErr w:type="spellStart"/>
      <w:r w:rsidRPr="001D1905">
        <w:rPr>
          <w:rStyle w:val="Emphasis"/>
          <w:bCs/>
          <w:i w:val="0"/>
          <w:color w:val="333333"/>
        </w:rPr>
        <w:t>of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GBER </w:t>
      </w:r>
      <w:proofErr w:type="spellStart"/>
      <w:r w:rsidRPr="001D1905">
        <w:rPr>
          <w:rStyle w:val="Emphasis"/>
          <w:bCs/>
          <w:i w:val="0"/>
          <w:color w:val="333333"/>
        </w:rPr>
        <w:t>we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would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like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to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ask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Commission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guidance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on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following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questions</w:t>
      </w:r>
      <w:proofErr w:type="spellEnd"/>
      <w:r w:rsidRPr="001D1905">
        <w:rPr>
          <w:rStyle w:val="Emphasis"/>
          <w:bCs/>
          <w:i w:val="0"/>
          <w:color w:val="333333"/>
        </w:rPr>
        <w:t>:</w:t>
      </w:r>
      <w:r w:rsidRPr="001D1905">
        <w:rPr>
          <w:color w:val="333333"/>
        </w:rPr>
        <w:t xml:space="preserve"> </w:t>
      </w:r>
    </w:p>
    <w:p w:rsidR="001D1905" w:rsidRPr="001D1905" w:rsidRDefault="001D1905" w:rsidP="001D1905">
      <w:pPr>
        <w:pStyle w:val="NormalWeb"/>
        <w:jc w:val="both"/>
        <w:rPr>
          <w:color w:val="333333"/>
        </w:rPr>
      </w:pPr>
      <w:r w:rsidRPr="001D1905">
        <w:rPr>
          <w:rStyle w:val="Emphasis"/>
          <w:bCs/>
          <w:i w:val="0"/>
          <w:color w:val="333333"/>
        </w:rPr>
        <w:t xml:space="preserve">a)      </w:t>
      </w:r>
      <w:proofErr w:type="spellStart"/>
      <w:r w:rsidRPr="001D1905">
        <w:rPr>
          <w:rStyle w:val="Emphasis"/>
          <w:bCs/>
          <w:i w:val="0"/>
          <w:color w:val="333333"/>
        </w:rPr>
        <w:t>What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are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forms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of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investments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included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overall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investment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amount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for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purposes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of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definition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of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„</w:t>
      </w:r>
      <w:proofErr w:type="spellStart"/>
      <w:r w:rsidRPr="001D1905">
        <w:rPr>
          <w:rStyle w:val="Emphasis"/>
          <w:bCs/>
          <w:i w:val="0"/>
          <w:color w:val="333333"/>
        </w:rPr>
        <w:t>total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financing</w:t>
      </w:r>
      <w:proofErr w:type="spellEnd"/>
      <w:r w:rsidRPr="001D1905">
        <w:rPr>
          <w:rStyle w:val="Emphasis"/>
          <w:bCs/>
          <w:i w:val="0"/>
          <w:color w:val="333333"/>
        </w:rPr>
        <w:t xml:space="preserve">“ </w:t>
      </w:r>
      <w:proofErr w:type="spellStart"/>
      <w:r w:rsidRPr="001D1905">
        <w:rPr>
          <w:rStyle w:val="Emphasis"/>
          <w:bCs/>
          <w:i w:val="0"/>
          <w:color w:val="333333"/>
        </w:rPr>
        <w:t>under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art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. 2, par.37 </w:t>
      </w:r>
      <w:proofErr w:type="spellStart"/>
      <w:r w:rsidRPr="001D1905">
        <w:rPr>
          <w:rStyle w:val="Emphasis"/>
          <w:bCs/>
          <w:i w:val="0"/>
          <w:color w:val="333333"/>
        </w:rPr>
        <w:t>of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GBER? </w:t>
      </w:r>
      <w:proofErr w:type="spellStart"/>
      <w:r w:rsidRPr="001D1905">
        <w:rPr>
          <w:rStyle w:val="Emphasis"/>
          <w:bCs/>
          <w:i w:val="0"/>
          <w:color w:val="333333"/>
        </w:rPr>
        <w:t>Are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they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forms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of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aid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stipulated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section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3 </w:t>
      </w:r>
      <w:proofErr w:type="spellStart"/>
      <w:r w:rsidRPr="001D1905">
        <w:rPr>
          <w:rStyle w:val="Emphasis"/>
          <w:bCs/>
          <w:i w:val="0"/>
          <w:color w:val="333333"/>
        </w:rPr>
        <w:t>and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articles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16 </w:t>
      </w:r>
      <w:proofErr w:type="spellStart"/>
      <w:r w:rsidRPr="001D1905">
        <w:rPr>
          <w:rStyle w:val="Emphasis"/>
          <w:bCs/>
          <w:i w:val="0"/>
          <w:color w:val="333333"/>
        </w:rPr>
        <w:t>and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39 </w:t>
      </w:r>
      <w:proofErr w:type="spellStart"/>
      <w:r w:rsidRPr="001D1905">
        <w:rPr>
          <w:rStyle w:val="Emphasis"/>
          <w:bCs/>
          <w:i w:val="0"/>
          <w:color w:val="333333"/>
        </w:rPr>
        <w:t>of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GBER </w:t>
      </w:r>
      <w:proofErr w:type="spellStart"/>
      <w:r w:rsidRPr="001D1905">
        <w:rPr>
          <w:rStyle w:val="Emphasis"/>
          <w:bCs/>
          <w:i w:val="0"/>
          <w:color w:val="333333"/>
        </w:rPr>
        <w:t>which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are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included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definition</w:t>
      </w:r>
      <w:proofErr w:type="spellEnd"/>
      <w:r w:rsidRPr="001D1905">
        <w:rPr>
          <w:rStyle w:val="Emphasis"/>
          <w:bCs/>
          <w:i w:val="0"/>
          <w:color w:val="333333"/>
        </w:rPr>
        <w:t>?</w:t>
      </w:r>
      <w:r w:rsidRPr="001D1905">
        <w:rPr>
          <w:color w:val="333333"/>
        </w:rPr>
        <w:t xml:space="preserve"> </w:t>
      </w:r>
    </w:p>
    <w:p w:rsidR="001D1905" w:rsidRPr="001D1905" w:rsidRDefault="001D1905" w:rsidP="001D1905">
      <w:pPr>
        <w:pStyle w:val="NormalWeb"/>
        <w:jc w:val="both"/>
        <w:rPr>
          <w:color w:val="333333"/>
        </w:rPr>
      </w:pPr>
      <w:r w:rsidRPr="001D1905">
        <w:rPr>
          <w:rStyle w:val="Emphasis"/>
          <w:bCs/>
          <w:i w:val="0"/>
          <w:color w:val="333333"/>
        </w:rPr>
        <w:t xml:space="preserve">b)      </w:t>
      </w:r>
      <w:proofErr w:type="spellStart"/>
      <w:r w:rsidRPr="001D1905">
        <w:rPr>
          <w:rStyle w:val="Emphasis"/>
          <w:bCs/>
          <w:i w:val="0"/>
          <w:color w:val="333333"/>
        </w:rPr>
        <w:t>How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shall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be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interpreted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provision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for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aggregate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amount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of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private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investments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of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minimum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30 % </w:t>
      </w:r>
      <w:proofErr w:type="spellStart"/>
      <w:r w:rsidRPr="001D1905">
        <w:rPr>
          <w:rStyle w:val="Emphasis"/>
          <w:bCs/>
          <w:i w:val="0"/>
          <w:color w:val="333333"/>
        </w:rPr>
        <w:t>of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total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financing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provided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cases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where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: </w:t>
      </w:r>
    </w:p>
    <w:p w:rsidR="001D1905" w:rsidRPr="001D1905" w:rsidRDefault="001D1905" w:rsidP="001D1905">
      <w:pPr>
        <w:pStyle w:val="NormalWeb"/>
        <w:jc w:val="both"/>
        <w:rPr>
          <w:color w:val="333333"/>
        </w:rPr>
      </w:pPr>
      <w:r w:rsidRPr="001D1905">
        <w:rPr>
          <w:color w:val="333333"/>
        </w:rPr>
        <w:t xml:space="preserve">-         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aid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granted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by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Urban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development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fund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form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of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loans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and</w:t>
      </w:r>
      <w:proofErr w:type="spellEnd"/>
      <w:r w:rsidRPr="001D1905">
        <w:rPr>
          <w:color w:val="333333"/>
        </w:rPr>
        <w:t xml:space="preserve"> </w:t>
      </w:r>
    </w:p>
    <w:p w:rsidR="001D1905" w:rsidRPr="001D1905" w:rsidRDefault="001D1905" w:rsidP="001D1905">
      <w:pPr>
        <w:pStyle w:val="NormalWeb"/>
        <w:jc w:val="both"/>
        <w:rPr>
          <w:color w:val="333333"/>
        </w:rPr>
      </w:pPr>
      <w:r w:rsidRPr="001D1905">
        <w:rPr>
          <w:color w:val="333333"/>
        </w:rPr>
        <w:t xml:space="preserve">-         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urban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development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projects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may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be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funded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by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other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sources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separate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from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loan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which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are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not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provided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by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Urban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development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fund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and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which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may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include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own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funds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of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entity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implementing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urban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development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project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, </w:t>
      </w:r>
      <w:proofErr w:type="spellStart"/>
      <w:r w:rsidRPr="001D1905">
        <w:rPr>
          <w:rStyle w:val="Emphasis"/>
          <w:bCs/>
          <w:i w:val="0"/>
          <w:color w:val="333333"/>
        </w:rPr>
        <w:t>other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private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funds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or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grants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from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public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sources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and</w:t>
      </w:r>
      <w:proofErr w:type="spellEnd"/>
      <w:r w:rsidRPr="001D1905">
        <w:rPr>
          <w:color w:val="333333"/>
        </w:rPr>
        <w:t xml:space="preserve"> </w:t>
      </w:r>
    </w:p>
    <w:p w:rsidR="001D1905" w:rsidRPr="001D1905" w:rsidRDefault="001D1905" w:rsidP="001D1905">
      <w:pPr>
        <w:pStyle w:val="NormalWeb"/>
        <w:jc w:val="both"/>
        <w:rPr>
          <w:color w:val="333333"/>
        </w:rPr>
      </w:pPr>
      <w:r w:rsidRPr="001D1905">
        <w:rPr>
          <w:color w:val="333333"/>
        </w:rPr>
        <w:t xml:space="preserve">-          </w:t>
      </w:r>
      <w:proofErr w:type="spellStart"/>
      <w:r w:rsidRPr="001D1905">
        <w:rPr>
          <w:rStyle w:val="Emphasis"/>
          <w:bCs/>
          <w:i w:val="0"/>
          <w:color w:val="333333"/>
        </w:rPr>
        <w:t>in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case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of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funding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from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public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sources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respective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state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aid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rules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for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funding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are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applied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including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art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. 8 </w:t>
      </w:r>
      <w:proofErr w:type="spellStart"/>
      <w:r w:rsidRPr="001D1905">
        <w:rPr>
          <w:rStyle w:val="Emphasis"/>
          <w:bCs/>
          <w:i w:val="0"/>
          <w:color w:val="333333"/>
        </w:rPr>
        <w:t>of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GBER </w:t>
      </w:r>
      <w:proofErr w:type="spellStart"/>
      <w:r w:rsidRPr="001D1905">
        <w:rPr>
          <w:rStyle w:val="Emphasis"/>
          <w:bCs/>
          <w:i w:val="0"/>
          <w:color w:val="333333"/>
        </w:rPr>
        <w:t>for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cumulation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up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to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highest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aid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intensity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or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aid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amount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applicable</w:t>
      </w:r>
      <w:proofErr w:type="spellEnd"/>
      <w:r w:rsidRPr="001D1905">
        <w:rPr>
          <w:rStyle w:val="Emphasis"/>
          <w:bCs/>
          <w:i w:val="0"/>
          <w:color w:val="333333"/>
        </w:rPr>
        <w:t>;</w:t>
      </w:r>
      <w:r w:rsidRPr="001D1905">
        <w:rPr>
          <w:color w:val="333333"/>
        </w:rPr>
        <w:t xml:space="preserve"> </w:t>
      </w:r>
    </w:p>
    <w:p w:rsidR="001D1905" w:rsidRPr="001D1905" w:rsidRDefault="001D1905" w:rsidP="001D1905">
      <w:pPr>
        <w:pStyle w:val="NormalWeb"/>
        <w:jc w:val="both"/>
        <w:rPr>
          <w:color w:val="333333"/>
        </w:rPr>
      </w:pPr>
      <w:proofErr w:type="spellStart"/>
      <w:r w:rsidRPr="001D1905">
        <w:rPr>
          <w:rStyle w:val="Emphasis"/>
          <w:bCs/>
          <w:i w:val="0"/>
          <w:color w:val="333333"/>
        </w:rPr>
        <w:t>In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that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respect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requirement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for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30 % </w:t>
      </w:r>
      <w:proofErr w:type="spellStart"/>
      <w:r w:rsidRPr="001D1905">
        <w:rPr>
          <w:rStyle w:val="Emphasis"/>
          <w:bCs/>
          <w:i w:val="0"/>
          <w:color w:val="333333"/>
        </w:rPr>
        <w:t>private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investments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applied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to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total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amount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of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sources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of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funding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for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urban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development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project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specified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above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(</w:t>
      </w:r>
      <w:proofErr w:type="spellStart"/>
      <w:r w:rsidRPr="001D1905">
        <w:rPr>
          <w:rStyle w:val="Emphasis"/>
          <w:bCs/>
          <w:i w:val="0"/>
          <w:color w:val="333333"/>
        </w:rPr>
        <w:t>incl</w:t>
      </w:r>
      <w:proofErr w:type="spellEnd"/>
      <w:r w:rsidRPr="001D1905">
        <w:rPr>
          <w:rStyle w:val="Emphasis"/>
          <w:bCs/>
          <w:i w:val="0"/>
          <w:color w:val="333333"/>
        </w:rPr>
        <w:t xml:space="preserve">. </w:t>
      </w:r>
      <w:proofErr w:type="spellStart"/>
      <w:r w:rsidRPr="001D1905">
        <w:rPr>
          <w:rStyle w:val="Emphasis"/>
          <w:bCs/>
          <w:i w:val="0"/>
          <w:color w:val="333333"/>
        </w:rPr>
        <w:t>own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funds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, </w:t>
      </w:r>
      <w:proofErr w:type="spellStart"/>
      <w:r w:rsidRPr="001D1905">
        <w:rPr>
          <w:rStyle w:val="Emphasis"/>
          <w:bCs/>
          <w:i w:val="0"/>
          <w:color w:val="333333"/>
        </w:rPr>
        <w:t>other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private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funds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or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grants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) </w:t>
      </w:r>
      <w:proofErr w:type="spellStart"/>
      <w:r w:rsidRPr="001D1905">
        <w:rPr>
          <w:rStyle w:val="Emphasis"/>
          <w:bCs/>
          <w:i w:val="0"/>
          <w:color w:val="333333"/>
        </w:rPr>
        <w:t>or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is</w:t>
      </w:r>
      <w:proofErr w:type="spellEnd"/>
      <w:r w:rsidRPr="001D1905">
        <w:rPr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applied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to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total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amount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of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loan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provided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by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financial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instrument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(</w:t>
      </w:r>
      <w:proofErr w:type="spellStart"/>
      <w:r w:rsidRPr="001D1905">
        <w:rPr>
          <w:rStyle w:val="Emphasis"/>
          <w:bCs/>
          <w:i w:val="0"/>
          <w:color w:val="333333"/>
        </w:rPr>
        <w:t>Urban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development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fund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)? </w:t>
      </w:r>
    </w:p>
    <w:p w:rsidR="00230DD7" w:rsidRPr="001D1905" w:rsidRDefault="001D1905" w:rsidP="001D190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1D1905">
        <w:rPr>
          <w:rStyle w:val="Emphasis"/>
          <w:rFonts w:ascii="Times New Roman" w:hAnsi="Times New Roman" w:cs="Times New Roman"/>
          <w:bCs/>
          <w:i w:val="0"/>
          <w:color w:val="333333"/>
          <w:sz w:val="24"/>
          <w:szCs w:val="24"/>
        </w:rPr>
        <w:t>Shall</w:t>
      </w:r>
      <w:proofErr w:type="spellEnd"/>
      <w:r w:rsidRPr="001D1905">
        <w:rPr>
          <w:rStyle w:val="Emphasis"/>
          <w:rFonts w:ascii="Times New Roman" w:hAnsi="Times New Roman" w:cs="Times New Roman"/>
          <w:bCs/>
          <w:i w:val="0"/>
          <w:color w:val="333333"/>
          <w:sz w:val="24"/>
          <w:szCs w:val="24"/>
        </w:rPr>
        <w:t xml:space="preserve"> </w:t>
      </w:r>
      <w:proofErr w:type="spellStart"/>
      <w:r w:rsidRPr="001D1905">
        <w:rPr>
          <w:rStyle w:val="Emphasis"/>
          <w:rFonts w:ascii="Times New Roman" w:hAnsi="Times New Roman" w:cs="Times New Roman"/>
          <w:bCs/>
          <w:i w:val="0"/>
          <w:color w:val="333333"/>
          <w:sz w:val="24"/>
          <w:szCs w:val="24"/>
        </w:rPr>
        <w:t>the</w:t>
      </w:r>
      <w:proofErr w:type="spellEnd"/>
      <w:r w:rsidRPr="001D1905">
        <w:rPr>
          <w:rStyle w:val="Emphasis"/>
          <w:rFonts w:ascii="Times New Roman" w:hAnsi="Times New Roman" w:cs="Times New Roman"/>
          <w:bCs/>
          <w:i w:val="0"/>
          <w:color w:val="333333"/>
          <w:sz w:val="24"/>
          <w:szCs w:val="24"/>
        </w:rPr>
        <w:t xml:space="preserve"> </w:t>
      </w:r>
      <w:proofErr w:type="spellStart"/>
      <w:r w:rsidRPr="001D1905">
        <w:rPr>
          <w:rStyle w:val="Emphasis"/>
          <w:rFonts w:ascii="Times New Roman" w:hAnsi="Times New Roman" w:cs="Times New Roman"/>
          <w:bCs/>
          <w:i w:val="0"/>
          <w:color w:val="333333"/>
          <w:sz w:val="24"/>
          <w:szCs w:val="24"/>
        </w:rPr>
        <w:t>private</w:t>
      </w:r>
      <w:proofErr w:type="spellEnd"/>
      <w:r w:rsidRPr="001D1905">
        <w:rPr>
          <w:rStyle w:val="Emphasis"/>
          <w:rFonts w:ascii="Times New Roman" w:hAnsi="Times New Roman" w:cs="Times New Roman"/>
          <w:bCs/>
          <w:i w:val="0"/>
          <w:color w:val="333333"/>
          <w:sz w:val="24"/>
          <w:szCs w:val="24"/>
        </w:rPr>
        <w:t xml:space="preserve"> </w:t>
      </w:r>
      <w:proofErr w:type="spellStart"/>
      <w:r w:rsidRPr="001D1905">
        <w:rPr>
          <w:rStyle w:val="Emphasis"/>
          <w:rFonts w:ascii="Times New Roman" w:hAnsi="Times New Roman" w:cs="Times New Roman"/>
          <w:bCs/>
          <w:i w:val="0"/>
          <w:color w:val="333333"/>
          <w:sz w:val="24"/>
          <w:szCs w:val="24"/>
        </w:rPr>
        <w:t>investors</w:t>
      </w:r>
      <w:proofErr w:type="spellEnd"/>
      <w:r w:rsidRPr="001D1905">
        <w:rPr>
          <w:rStyle w:val="Emphasis"/>
          <w:rFonts w:ascii="Times New Roman" w:hAnsi="Times New Roman" w:cs="Times New Roman"/>
          <w:bCs/>
          <w:i w:val="0"/>
          <w:color w:val="333333"/>
          <w:sz w:val="24"/>
          <w:szCs w:val="24"/>
        </w:rPr>
        <w:t xml:space="preserve"> </w:t>
      </w:r>
      <w:proofErr w:type="spellStart"/>
      <w:r w:rsidRPr="001D1905">
        <w:rPr>
          <w:rStyle w:val="Emphasis"/>
          <w:rFonts w:ascii="Times New Roman" w:hAnsi="Times New Roman" w:cs="Times New Roman"/>
          <w:bCs/>
          <w:i w:val="0"/>
          <w:color w:val="333333"/>
          <w:sz w:val="24"/>
          <w:szCs w:val="24"/>
        </w:rPr>
        <w:t>under</w:t>
      </w:r>
      <w:proofErr w:type="spellEnd"/>
      <w:r w:rsidRPr="001D1905">
        <w:rPr>
          <w:rStyle w:val="Emphasis"/>
          <w:rFonts w:ascii="Times New Roman" w:hAnsi="Times New Roman" w:cs="Times New Roman"/>
          <w:bCs/>
          <w:i w:val="0"/>
          <w:color w:val="333333"/>
          <w:sz w:val="24"/>
          <w:szCs w:val="24"/>
        </w:rPr>
        <w:t xml:space="preserve"> </w:t>
      </w:r>
      <w:proofErr w:type="spellStart"/>
      <w:r w:rsidRPr="001D1905">
        <w:rPr>
          <w:rStyle w:val="Emphasis"/>
          <w:rFonts w:ascii="Times New Roman" w:hAnsi="Times New Roman" w:cs="Times New Roman"/>
          <w:bCs/>
          <w:i w:val="0"/>
          <w:color w:val="333333"/>
          <w:sz w:val="24"/>
          <w:szCs w:val="24"/>
        </w:rPr>
        <w:t>art</w:t>
      </w:r>
      <w:proofErr w:type="spellEnd"/>
      <w:r w:rsidRPr="001D1905">
        <w:rPr>
          <w:rStyle w:val="Emphasis"/>
          <w:rFonts w:ascii="Times New Roman" w:hAnsi="Times New Roman" w:cs="Times New Roman"/>
          <w:bCs/>
          <w:i w:val="0"/>
          <w:color w:val="333333"/>
          <w:sz w:val="24"/>
          <w:szCs w:val="24"/>
        </w:rPr>
        <w:t xml:space="preserve">. 16, </w:t>
      </w:r>
      <w:proofErr w:type="spellStart"/>
      <w:r w:rsidRPr="001D1905">
        <w:rPr>
          <w:rStyle w:val="Emphasis"/>
          <w:rFonts w:ascii="Times New Roman" w:hAnsi="Times New Roman" w:cs="Times New Roman"/>
          <w:bCs/>
          <w:i w:val="0"/>
          <w:color w:val="333333"/>
          <w:sz w:val="24"/>
          <w:szCs w:val="24"/>
        </w:rPr>
        <w:t>par</w:t>
      </w:r>
      <w:proofErr w:type="spellEnd"/>
      <w:r w:rsidRPr="001D1905">
        <w:rPr>
          <w:rStyle w:val="Emphasis"/>
          <w:rFonts w:ascii="Times New Roman" w:hAnsi="Times New Roman" w:cs="Times New Roman"/>
          <w:bCs/>
          <w:i w:val="0"/>
          <w:color w:val="333333"/>
          <w:sz w:val="24"/>
          <w:szCs w:val="24"/>
        </w:rPr>
        <w:t xml:space="preserve">. 6 </w:t>
      </w:r>
      <w:proofErr w:type="spellStart"/>
      <w:r w:rsidRPr="001D1905">
        <w:rPr>
          <w:rStyle w:val="Emphasis"/>
          <w:rFonts w:ascii="Times New Roman" w:hAnsi="Times New Roman" w:cs="Times New Roman"/>
          <w:bCs/>
          <w:i w:val="0"/>
          <w:color w:val="333333"/>
          <w:sz w:val="24"/>
          <w:szCs w:val="24"/>
        </w:rPr>
        <w:t>of</w:t>
      </w:r>
      <w:proofErr w:type="spellEnd"/>
      <w:r w:rsidRPr="001D1905">
        <w:rPr>
          <w:rStyle w:val="Emphasis"/>
          <w:rFonts w:ascii="Times New Roman" w:hAnsi="Times New Roman" w:cs="Times New Roman"/>
          <w:bCs/>
          <w:i w:val="0"/>
          <w:color w:val="333333"/>
          <w:sz w:val="24"/>
          <w:szCs w:val="24"/>
        </w:rPr>
        <w:t xml:space="preserve"> </w:t>
      </w:r>
      <w:proofErr w:type="spellStart"/>
      <w:r w:rsidRPr="001D1905">
        <w:rPr>
          <w:rStyle w:val="Emphasis"/>
          <w:rFonts w:ascii="Times New Roman" w:hAnsi="Times New Roman" w:cs="Times New Roman"/>
          <w:bCs/>
          <w:i w:val="0"/>
          <w:color w:val="333333"/>
          <w:sz w:val="24"/>
          <w:szCs w:val="24"/>
        </w:rPr>
        <w:t>the</w:t>
      </w:r>
      <w:proofErr w:type="spellEnd"/>
      <w:r w:rsidRPr="001D1905">
        <w:rPr>
          <w:rStyle w:val="Emphasis"/>
          <w:rFonts w:ascii="Times New Roman" w:hAnsi="Times New Roman" w:cs="Times New Roman"/>
          <w:bCs/>
          <w:i w:val="0"/>
          <w:color w:val="333333"/>
          <w:sz w:val="24"/>
          <w:szCs w:val="24"/>
        </w:rPr>
        <w:t xml:space="preserve"> GBER </w:t>
      </w:r>
      <w:proofErr w:type="spellStart"/>
      <w:r w:rsidRPr="001D1905">
        <w:rPr>
          <w:rStyle w:val="Emphasis"/>
          <w:rFonts w:ascii="Times New Roman" w:hAnsi="Times New Roman" w:cs="Times New Roman"/>
          <w:bCs/>
          <w:i w:val="0"/>
          <w:color w:val="333333"/>
          <w:sz w:val="24"/>
          <w:szCs w:val="24"/>
        </w:rPr>
        <w:t>comply</w:t>
      </w:r>
      <w:proofErr w:type="spellEnd"/>
      <w:r w:rsidRPr="001D1905">
        <w:rPr>
          <w:rStyle w:val="Emphasis"/>
          <w:rFonts w:ascii="Times New Roman" w:hAnsi="Times New Roman" w:cs="Times New Roman"/>
          <w:bCs/>
          <w:i w:val="0"/>
          <w:color w:val="333333"/>
          <w:sz w:val="24"/>
          <w:szCs w:val="24"/>
        </w:rPr>
        <w:t xml:space="preserve"> </w:t>
      </w:r>
      <w:proofErr w:type="spellStart"/>
      <w:r w:rsidRPr="001D1905">
        <w:rPr>
          <w:rStyle w:val="Emphasis"/>
          <w:rFonts w:ascii="Times New Roman" w:hAnsi="Times New Roman" w:cs="Times New Roman"/>
          <w:bCs/>
          <w:i w:val="0"/>
          <w:color w:val="333333"/>
          <w:sz w:val="24"/>
          <w:szCs w:val="24"/>
        </w:rPr>
        <w:t>with</w:t>
      </w:r>
      <w:proofErr w:type="spellEnd"/>
      <w:r w:rsidRPr="001D1905">
        <w:rPr>
          <w:rStyle w:val="Emphasis"/>
          <w:rFonts w:ascii="Times New Roman" w:hAnsi="Times New Roman" w:cs="Times New Roman"/>
          <w:bCs/>
          <w:i w:val="0"/>
          <w:color w:val="333333"/>
          <w:sz w:val="24"/>
          <w:szCs w:val="24"/>
        </w:rPr>
        <w:t xml:space="preserve"> </w:t>
      </w:r>
      <w:proofErr w:type="spellStart"/>
      <w:r w:rsidRPr="001D1905">
        <w:rPr>
          <w:rStyle w:val="Emphasis"/>
          <w:rFonts w:ascii="Times New Roman" w:hAnsi="Times New Roman" w:cs="Times New Roman"/>
          <w:bCs/>
          <w:i w:val="0"/>
          <w:color w:val="333333"/>
          <w:sz w:val="24"/>
          <w:szCs w:val="24"/>
        </w:rPr>
        <w:t>the</w:t>
      </w:r>
      <w:proofErr w:type="spellEnd"/>
      <w:r w:rsidRPr="001D1905">
        <w:rPr>
          <w:rStyle w:val="Emphasis"/>
          <w:rFonts w:ascii="Times New Roman" w:hAnsi="Times New Roman" w:cs="Times New Roman"/>
          <w:bCs/>
          <w:i w:val="0"/>
          <w:color w:val="333333"/>
          <w:sz w:val="24"/>
          <w:szCs w:val="24"/>
        </w:rPr>
        <w:t xml:space="preserve"> </w:t>
      </w:r>
      <w:proofErr w:type="spellStart"/>
      <w:r w:rsidRPr="001D1905">
        <w:rPr>
          <w:rStyle w:val="Emphasis"/>
          <w:rFonts w:ascii="Times New Roman" w:hAnsi="Times New Roman" w:cs="Times New Roman"/>
          <w:bCs/>
          <w:i w:val="0"/>
          <w:color w:val="333333"/>
          <w:sz w:val="24"/>
          <w:szCs w:val="24"/>
        </w:rPr>
        <w:t>definition</w:t>
      </w:r>
      <w:proofErr w:type="spellEnd"/>
      <w:r w:rsidRPr="001D1905">
        <w:rPr>
          <w:rStyle w:val="Emphasis"/>
          <w:rFonts w:ascii="Times New Roman" w:hAnsi="Times New Roman" w:cs="Times New Roman"/>
          <w:bCs/>
          <w:i w:val="0"/>
          <w:color w:val="333333"/>
          <w:sz w:val="24"/>
          <w:szCs w:val="24"/>
        </w:rPr>
        <w:t xml:space="preserve"> </w:t>
      </w:r>
      <w:proofErr w:type="spellStart"/>
      <w:r w:rsidRPr="001D1905">
        <w:rPr>
          <w:rStyle w:val="Emphasis"/>
          <w:rFonts w:ascii="Times New Roman" w:hAnsi="Times New Roman" w:cs="Times New Roman"/>
          <w:bCs/>
          <w:i w:val="0"/>
          <w:color w:val="333333"/>
          <w:sz w:val="24"/>
          <w:szCs w:val="24"/>
        </w:rPr>
        <w:t>of</w:t>
      </w:r>
      <w:proofErr w:type="spellEnd"/>
      <w:r w:rsidRPr="001D1905">
        <w:rPr>
          <w:rStyle w:val="Emphasis"/>
          <w:rFonts w:ascii="Times New Roman" w:hAnsi="Times New Roman" w:cs="Times New Roman"/>
          <w:bCs/>
          <w:i w:val="0"/>
          <w:color w:val="333333"/>
          <w:sz w:val="24"/>
          <w:szCs w:val="24"/>
        </w:rPr>
        <w:t xml:space="preserve"> „</w:t>
      </w:r>
      <w:proofErr w:type="spellStart"/>
      <w:r w:rsidRPr="001D1905">
        <w:rPr>
          <w:rStyle w:val="Emphasis"/>
          <w:rFonts w:ascii="Times New Roman" w:hAnsi="Times New Roman" w:cs="Times New Roman"/>
          <w:bCs/>
          <w:i w:val="0"/>
          <w:color w:val="333333"/>
          <w:sz w:val="24"/>
          <w:szCs w:val="24"/>
        </w:rPr>
        <w:t>independent</w:t>
      </w:r>
      <w:proofErr w:type="spellEnd"/>
      <w:r w:rsidRPr="001D1905">
        <w:rPr>
          <w:rStyle w:val="Emphasis"/>
          <w:rFonts w:ascii="Times New Roman" w:hAnsi="Times New Roman" w:cs="Times New Roman"/>
          <w:bCs/>
          <w:i w:val="0"/>
          <w:color w:val="333333"/>
          <w:sz w:val="24"/>
          <w:szCs w:val="24"/>
        </w:rPr>
        <w:t xml:space="preserve"> </w:t>
      </w:r>
      <w:proofErr w:type="spellStart"/>
      <w:r w:rsidRPr="001D1905">
        <w:rPr>
          <w:rStyle w:val="Emphasis"/>
          <w:rFonts w:ascii="Times New Roman" w:hAnsi="Times New Roman" w:cs="Times New Roman"/>
          <w:bCs/>
          <w:i w:val="0"/>
          <w:color w:val="333333"/>
          <w:sz w:val="24"/>
          <w:szCs w:val="24"/>
        </w:rPr>
        <w:t>private</w:t>
      </w:r>
      <w:proofErr w:type="spellEnd"/>
      <w:r w:rsidRPr="001D1905">
        <w:rPr>
          <w:rStyle w:val="Emphasis"/>
          <w:rFonts w:ascii="Times New Roman" w:hAnsi="Times New Roman" w:cs="Times New Roman"/>
          <w:bCs/>
          <w:i w:val="0"/>
          <w:color w:val="333333"/>
          <w:sz w:val="24"/>
          <w:szCs w:val="24"/>
        </w:rPr>
        <w:t xml:space="preserve"> </w:t>
      </w:r>
      <w:proofErr w:type="spellStart"/>
      <w:r w:rsidRPr="001D1905">
        <w:rPr>
          <w:rStyle w:val="Emphasis"/>
          <w:rFonts w:ascii="Times New Roman" w:hAnsi="Times New Roman" w:cs="Times New Roman"/>
          <w:bCs/>
          <w:i w:val="0"/>
          <w:color w:val="333333"/>
          <w:sz w:val="24"/>
          <w:szCs w:val="24"/>
        </w:rPr>
        <w:t>investor</w:t>
      </w:r>
      <w:proofErr w:type="spellEnd"/>
      <w:r w:rsidRPr="001D1905">
        <w:rPr>
          <w:rStyle w:val="Emphasis"/>
          <w:rFonts w:ascii="Times New Roman" w:hAnsi="Times New Roman" w:cs="Times New Roman"/>
          <w:bCs/>
          <w:i w:val="0"/>
          <w:color w:val="333333"/>
          <w:sz w:val="24"/>
          <w:szCs w:val="24"/>
        </w:rPr>
        <w:t xml:space="preserve">“ </w:t>
      </w:r>
      <w:proofErr w:type="spellStart"/>
      <w:r w:rsidRPr="001D1905">
        <w:rPr>
          <w:rStyle w:val="Emphasis"/>
          <w:rFonts w:ascii="Times New Roman" w:hAnsi="Times New Roman" w:cs="Times New Roman"/>
          <w:bCs/>
          <w:i w:val="0"/>
          <w:color w:val="333333"/>
          <w:sz w:val="24"/>
          <w:szCs w:val="24"/>
        </w:rPr>
        <w:t>under</w:t>
      </w:r>
      <w:proofErr w:type="spellEnd"/>
      <w:r w:rsidRPr="001D1905">
        <w:rPr>
          <w:rStyle w:val="Emphasis"/>
          <w:rFonts w:ascii="Times New Roman" w:hAnsi="Times New Roman" w:cs="Times New Roman"/>
          <w:bCs/>
          <w:i w:val="0"/>
          <w:color w:val="333333"/>
          <w:sz w:val="24"/>
          <w:szCs w:val="24"/>
        </w:rPr>
        <w:t xml:space="preserve"> </w:t>
      </w:r>
      <w:proofErr w:type="spellStart"/>
      <w:r w:rsidRPr="001D1905">
        <w:rPr>
          <w:rStyle w:val="Emphasis"/>
          <w:rFonts w:ascii="Times New Roman" w:hAnsi="Times New Roman" w:cs="Times New Roman"/>
          <w:bCs/>
          <w:i w:val="0"/>
          <w:color w:val="333333"/>
          <w:sz w:val="24"/>
          <w:szCs w:val="24"/>
        </w:rPr>
        <w:t>Art</w:t>
      </w:r>
      <w:proofErr w:type="spellEnd"/>
      <w:r w:rsidRPr="001D1905">
        <w:rPr>
          <w:rStyle w:val="Emphasis"/>
          <w:rFonts w:ascii="Times New Roman" w:hAnsi="Times New Roman" w:cs="Times New Roman"/>
          <w:bCs/>
          <w:i w:val="0"/>
          <w:color w:val="333333"/>
          <w:sz w:val="24"/>
          <w:szCs w:val="24"/>
        </w:rPr>
        <w:t xml:space="preserve">. 2, </w:t>
      </w:r>
      <w:proofErr w:type="spellStart"/>
      <w:r w:rsidRPr="001D1905">
        <w:rPr>
          <w:rStyle w:val="Emphasis"/>
          <w:rFonts w:ascii="Times New Roman" w:hAnsi="Times New Roman" w:cs="Times New Roman"/>
          <w:bCs/>
          <w:i w:val="0"/>
          <w:color w:val="333333"/>
          <w:sz w:val="24"/>
          <w:szCs w:val="24"/>
        </w:rPr>
        <w:t>par</w:t>
      </w:r>
      <w:proofErr w:type="spellEnd"/>
      <w:r w:rsidRPr="001D1905">
        <w:rPr>
          <w:rStyle w:val="Emphasis"/>
          <w:rFonts w:ascii="Times New Roman" w:hAnsi="Times New Roman" w:cs="Times New Roman"/>
          <w:bCs/>
          <w:i w:val="0"/>
          <w:color w:val="333333"/>
          <w:sz w:val="24"/>
          <w:szCs w:val="24"/>
        </w:rPr>
        <w:t xml:space="preserve">. 72 </w:t>
      </w:r>
      <w:proofErr w:type="spellStart"/>
      <w:r w:rsidRPr="001D1905">
        <w:rPr>
          <w:rStyle w:val="Emphasis"/>
          <w:rFonts w:ascii="Times New Roman" w:hAnsi="Times New Roman" w:cs="Times New Roman"/>
          <w:bCs/>
          <w:i w:val="0"/>
          <w:color w:val="333333"/>
          <w:sz w:val="24"/>
          <w:szCs w:val="24"/>
        </w:rPr>
        <w:t>of</w:t>
      </w:r>
      <w:proofErr w:type="spellEnd"/>
      <w:r w:rsidRPr="001D1905">
        <w:rPr>
          <w:rStyle w:val="Emphasis"/>
          <w:rFonts w:ascii="Times New Roman" w:hAnsi="Times New Roman" w:cs="Times New Roman"/>
          <w:bCs/>
          <w:i w:val="0"/>
          <w:color w:val="333333"/>
          <w:sz w:val="24"/>
          <w:szCs w:val="24"/>
        </w:rPr>
        <w:t xml:space="preserve"> </w:t>
      </w:r>
      <w:proofErr w:type="spellStart"/>
      <w:r w:rsidRPr="001D1905">
        <w:rPr>
          <w:rStyle w:val="Emphasis"/>
          <w:rFonts w:ascii="Times New Roman" w:hAnsi="Times New Roman" w:cs="Times New Roman"/>
          <w:bCs/>
          <w:i w:val="0"/>
          <w:color w:val="333333"/>
          <w:sz w:val="24"/>
          <w:szCs w:val="24"/>
        </w:rPr>
        <w:t>the</w:t>
      </w:r>
      <w:proofErr w:type="spellEnd"/>
      <w:r w:rsidRPr="001D1905">
        <w:rPr>
          <w:rStyle w:val="Emphasis"/>
          <w:rFonts w:ascii="Times New Roman" w:hAnsi="Times New Roman" w:cs="Times New Roman"/>
          <w:bCs/>
          <w:i w:val="0"/>
          <w:color w:val="333333"/>
          <w:sz w:val="24"/>
          <w:szCs w:val="24"/>
        </w:rPr>
        <w:t xml:space="preserve"> GBER?</w:t>
      </w:r>
      <w:r w:rsidRPr="001D190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1D1905" w:rsidRDefault="001D1905" w:rsidP="00230DD7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</w:pPr>
    </w:p>
    <w:p w:rsidR="0049510A" w:rsidRPr="0049510A" w:rsidRDefault="0049510A" w:rsidP="00230DD7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</w:pPr>
      <w:bookmarkStart w:id="0" w:name="_GoBack"/>
      <w:bookmarkEnd w:id="0"/>
      <w:proofErr w:type="spellStart"/>
      <w:r w:rsidRPr="0049510A"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  <w:t>Reply</w:t>
      </w:r>
      <w:proofErr w:type="spellEnd"/>
      <w:r>
        <w:rPr>
          <w:rFonts w:ascii="Arial" w:eastAsia="Times New Roman" w:hAnsi="Arial" w:cs="Arial"/>
          <w:b/>
          <w:color w:val="333333"/>
          <w:sz w:val="21"/>
          <w:szCs w:val="21"/>
          <w:u w:val="single"/>
          <w:lang w:eastAsia="bg-BG"/>
        </w:rPr>
        <w:t>:</w:t>
      </w:r>
    </w:p>
    <w:p w:rsidR="001D1905" w:rsidRPr="001D1905" w:rsidRDefault="001D1905" w:rsidP="001D1905">
      <w:pPr>
        <w:pStyle w:val="NormalWeb"/>
        <w:spacing w:before="0"/>
        <w:jc w:val="both"/>
        <w:rPr>
          <w:rFonts w:asciiTheme="minorHAnsi" w:hAnsiTheme="minorHAnsi"/>
          <w:color w:val="333333"/>
        </w:rPr>
      </w:pPr>
    </w:p>
    <w:p w:rsidR="001D1905" w:rsidRPr="001D1905" w:rsidRDefault="001D1905" w:rsidP="001D1905">
      <w:pPr>
        <w:pStyle w:val="NormalWeb"/>
        <w:jc w:val="both"/>
        <w:rPr>
          <w:rStyle w:val="Emphasis"/>
          <w:bCs/>
          <w:i w:val="0"/>
          <w:color w:val="333333"/>
        </w:rPr>
      </w:pPr>
      <w:proofErr w:type="spellStart"/>
      <w:r w:rsidRPr="001D1905">
        <w:rPr>
          <w:rStyle w:val="Emphasis"/>
          <w:bCs/>
          <w:i w:val="0"/>
          <w:color w:val="333333"/>
        </w:rPr>
        <w:t>According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to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Article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16(6) </w:t>
      </w:r>
      <w:proofErr w:type="spellStart"/>
      <w:r w:rsidRPr="001D1905">
        <w:rPr>
          <w:rStyle w:val="Emphasis"/>
          <w:bCs/>
          <w:i w:val="0"/>
          <w:color w:val="333333"/>
        </w:rPr>
        <w:t>of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GBER,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urban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development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aid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shall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leverage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additional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investment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from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private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investors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level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of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urban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development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funds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or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urban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development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projects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, </w:t>
      </w:r>
      <w:proofErr w:type="spellStart"/>
      <w:r w:rsidRPr="001D1905">
        <w:rPr>
          <w:rStyle w:val="Emphasis"/>
          <w:bCs/>
          <w:i w:val="0"/>
          <w:color w:val="333333"/>
        </w:rPr>
        <w:t>so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to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achieve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aggregate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amount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reaching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minimum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30 % </w:t>
      </w:r>
      <w:proofErr w:type="spellStart"/>
      <w:r w:rsidRPr="001D1905">
        <w:rPr>
          <w:rStyle w:val="Emphasis"/>
          <w:bCs/>
          <w:i w:val="0"/>
          <w:color w:val="333333"/>
        </w:rPr>
        <w:t>of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total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financing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provided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to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urban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development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project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. </w:t>
      </w:r>
    </w:p>
    <w:p w:rsidR="001D1905" w:rsidRPr="001D1905" w:rsidRDefault="001D1905" w:rsidP="001D1905">
      <w:pPr>
        <w:pStyle w:val="NormalWeb"/>
        <w:jc w:val="both"/>
        <w:rPr>
          <w:rStyle w:val="Emphasis"/>
          <w:bCs/>
          <w:i w:val="0"/>
          <w:color w:val="333333"/>
        </w:rPr>
      </w:pPr>
      <w:proofErr w:type="spellStart"/>
      <w:r w:rsidRPr="001D1905">
        <w:rPr>
          <w:rStyle w:val="Emphasis"/>
          <w:bCs/>
          <w:i w:val="0"/>
          <w:color w:val="333333"/>
        </w:rPr>
        <w:t>Considering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that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and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considering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eligible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forms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of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aid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specified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art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. 16, </w:t>
      </w:r>
      <w:proofErr w:type="spellStart"/>
      <w:r w:rsidRPr="001D1905">
        <w:rPr>
          <w:rStyle w:val="Emphasis"/>
          <w:bCs/>
          <w:i w:val="0"/>
          <w:color w:val="333333"/>
        </w:rPr>
        <w:t>par</w:t>
      </w:r>
      <w:proofErr w:type="spellEnd"/>
      <w:r w:rsidRPr="001D1905">
        <w:rPr>
          <w:rStyle w:val="Emphasis"/>
          <w:bCs/>
          <w:i w:val="0"/>
          <w:color w:val="333333"/>
        </w:rPr>
        <w:t xml:space="preserve">. 5 </w:t>
      </w:r>
      <w:proofErr w:type="spellStart"/>
      <w:r w:rsidRPr="001D1905">
        <w:rPr>
          <w:rStyle w:val="Emphasis"/>
          <w:bCs/>
          <w:i w:val="0"/>
          <w:color w:val="333333"/>
        </w:rPr>
        <w:t>of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GBER </w:t>
      </w:r>
      <w:proofErr w:type="spellStart"/>
      <w:r w:rsidRPr="001D1905">
        <w:rPr>
          <w:rStyle w:val="Emphasis"/>
          <w:bCs/>
          <w:i w:val="0"/>
          <w:color w:val="333333"/>
        </w:rPr>
        <w:t>we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would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like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to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ask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Commission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guidance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on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following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questions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: </w:t>
      </w:r>
    </w:p>
    <w:p w:rsidR="001D1905" w:rsidRPr="001D1905" w:rsidRDefault="001D1905" w:rsidP="001D1905">
      <w:pPr>
        <w:pStyle w:val="NormalWeb"/>
        <w:jc w:val="both"/>
        <w:rPr>
          <w:rStyle w:val="Emphasis"/>
          <w:bCs/>
          <w:i w:val="0"/>
          <w:color w:val="333333"/>
        </w:rPr>
      </w:pPr>
      <w:r w:rsidRPr="001D1905">
        <w:rPr>
          <w:rStyle w:val="Emphasis"/>
          <w:bCs/>
          <w:i w:val="0"/>
          <w:color w:val="333333"/>
        </w:rPr>
        <w:t>a) </w:t>
      </w:r>
      <w:proofErr w:type="spellStart"/>
      <w:r w:rsidRPr="001D1905">
        <w:rPr>
          <w:rStyle w:val="Emphasis"/>
          <w:bCs/>
          <w:i w:val="0"/>
          <w:color w:val="333333"/>
        </w:rPr>
        <w:t>What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are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forms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of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investments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included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overall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investment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amount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for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purposes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of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definition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of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„</w:t>
      </w:r>
      <w:proofErr w:type="spellStart"/>
      <w:r w:rsidRPr="001D1905">
        <w:rPr>
          <w:rStyle w:val="Emphasis"/>
          <w:bCs/>
          <w:i w:val="0"/>
          <w:color w:val="333333"/>
        </w:rPr>
        <w:t>total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financing</w:t>
      </w:r>
      <w:proofErr w:type="spellEnd"/>
      <w:r w:rsidRPr="001D1905">
        <w:rPr>
          <w:rStyle w:val="Emphasis"/>
          <w:bCs/>
          <w:i w:val="0"/>
          <w:color w:val="333333"/>
        </w:rPr>
        <w:t xml:space="preserve">“ </w:t>
      </w:r>
      <w:proofErr w:type="spellStart"/>
      <w:r w:rsidRPr="001D1905">
        <w:rPr>
          <w:rStyle w:val="Emphasis"/>
          <w:bCs/>
          <w:i w:val="0"/>
          <w:color w:val="333333"/>
        </w:rPr>
        <w:t>under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art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. 2, par.37 </w:t>
      </w:r>
      <w:proofErr w:type="spellStart"/>
      <w:r w:rsidRPr="001D1905">
        <w:rPr>
          <w:rStyle w:val="Emphasis"/>
          <w:bCs/>
          <w:i w:val="0"/>
          <w:color w:val="333333"/>
        </w:rPr>
        <w:t>of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GBER? </w:t>
      </w:r>
      <w:proofErr w:type="spellStart"/>
      <w:r w:rsidRPr="001D1905">
        <w:rPr>
          <w:rStyle w:val="Emphasis"/>
          <w:bCs/>
          <w:i w:val="0"/>
          <w:color w:val="333333"/>
        </w:rPr>
        <w:t>Are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they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forms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of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aid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stipulated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section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3 </w:t>
      </w:r>
      <w:proofErr w:type="spellStart"/>
      <w:r w:rsidRPr="001D1905">
        <w:rPr>
          <w:rStyle w:val="Emphasis"/>
          <w:bCs/>
          <w:i w:val="0"/>
          <w:color w:val="333333"/>
        </w:rPr>
        <w:t>and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articles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16 </w:t>
      </w:r>
      <w:proofErr w:type="spellStart"/>
      <w:r w:rsidRPr="001D1905">
        <w:rPr>
          <w:rStyle w:val="Emphasis"/>
          <w:bCs/>
          <w:i w:val="0"/>
          <w:color w:val="333333"/>
        </w:rPr>
        <w:t>and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39 </w:t>
      </w:r>
      <w:proofErr w:type="spellStart"/>
      <w:r w:rsidRPr="001D1905">
        <w:rPr>
          <w:rStyle w:val="Emphasis"/>
          <w:bCs/>
          <w:i w:val="0"/>
          <w:color w:val="333333"/>
        </w:rPr>
        <w:t>of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GBER </w:t>
      </w:r>
      <w:proofErr w:type="spellStart"/>
      <w:r w:rsidRPr="001D1905">
        <w:rPr>
          <w:rStyle w:val="Emphasis"/>
          <w:bCs/>
          <w:i w:val="0"/>
          <w:color w:val="333333"/>
        </w:rPr>
        <w:t>which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are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included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definition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? </w:t>
      </w:r>
    </w:p>
    <w:p w:rsidR="001D1905" w:rsidRPr="001D1905" w:rsidRDefault="001D1905" w:rsidP="001D1905">
      <w:pPr>
        <w:pStyle w:val="NormalWeb"/>
        <w:jc w:val="both"/>
        <w:rPr>
          <w:rStyle w:val="Emphasis"/>
          <w:bCs/>
          <w:i w:val="0"/>
          <w:color w:val="333333"/>
        </w:rPr>
      </w:pPr>
      <w:proofErr w:type="spellStart"/>
      <w:r w:rsidRPr="001D1905">
        <w:rPr>
          <w:rStyle w:val="Emphasis"/>
          <w:bCs/>
          <w:i w:val="0"/>
          <w:color w:val="333333"/>
        </w:rPr>
        <w:t>Reply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</w:p>
    <w:p w:rsidR="001D1905" w:rsidRPr="001D1905" w:rsidRDefault="001D1905" w:rsidP="001D1905">
      <w:pPr>
        <w:pStyle w:val="NormalWeb"/>
        <w:jc w:val="both"/>
        <w:rPr>
          <w:rStyle w:val="Emphasis"/>
          <w:bCs/>
          <w:i w:val="0"/>
          <w:color w:val="333333"/>
        </w:rPr>
      </w:pPr>
      <w:proofErr w:type="spellStart"/>
      <w:r w:rsidRPr="001D1905">
        <w:rPr>
          <w:rStyle w:val="Emphasis"/>
          <w:bCs/>
          <w:i w:val="0"/>
          <w:color w:val="333333"/>
        </w:rPr>
        <w:t>Regarding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area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of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urban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development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aid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,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term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"</w:t>
      </w:r>
      <w:proofErr w:type="spellStart"/>
      <w:r w:rsidRPr="001D1905">
        <w:rPr>
          <w:rStyle w:val="Emphasis"/>
          <w:bCs/>
          <w:i w:val="0"/>
          <w:color w:val="333333"/>
        </w:rPr>
        <w:t>total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financing</w:t>
      </w:r>
      <w:proofErr w:type="spellEnd"/>
      <w:r w:rsidRPr="001D1905">
        <w:rPr>
          <w:rStyle w:val="Emphasis"/>
          <w:bCs/>
          <w:i w:val="0"/>
          <w:color w:val="333333"/>
        </w:rPr>
        <w:t xml:space="preserve">" </w:t>
      </w:r>
      <w:proofErr w:type="spellStart"/>
      <w:r w:rsidRPr="001D1905">
        <w:rPr>
          <w:rStyle w:val="Emphasis"/>
          <w:bCs/>
          <w:i w:val="0"/>
          <w:color w:val="333333"/>
        </w:rPr>
        <w:t>mentioned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Article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2 </w:t>
      </w:r>
      <w:proofErr w:type="spellStart"/>
      <w:r w:rsidRPr="001D1905">
        <w:rPr>
          <w:rStyle w:val="Emphasis"/>
          <w:bCs/>
          <w:i w:val="0"/>
          <w:color w:val="333333"/>
        </w:rPr>
        <w:t>para</w:t>
      </w:r>
      <w:proofErr w:type="spellEnd"/>
      <w:r w:rsidRPr="001D1905">
        <w:rPr>
          <w:rStyle w:val="Emphasis"/>
          <w:bCs/>
          <w:i w:val="0"/>
          <w:color w:val="333333"/>
        </w:rPr>
        <w:t xml:space="preserve">. 37 GBER </w:t>
      </w:r>
      <w:proofErr w:type="spellStart"/>
      <w:r w:rsidRPr="001D1905">
        <w:rPr>
          <w:rStyle w:val="Emphasis"/>
          <w:bCs/>
          <w:i w:val="0"/>
          <w:color w:val="333333"/>
        </w:rPr>
        <w:t>and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defined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"</w:t>
      </w:r>
      <w:proofErr w:type="spellStart"/>
      <w:r w:rsidRPr="001D1905">
        <w:rPr>
          <w:rStyle w:val="Emphasis"/>
          <w:bCs/>
          <w:i w:val="0"/>
          <w:color w:val="333333"/>
        </w:rPr>
        <w:t>overall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investment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amount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made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into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eligible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undertaking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or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project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" </w:t>
      </w:r>
      <w:proofErr w:type="spellStart"/>
      <w:r w:rsidRPr="001D1905">
        <w:rPr>
          <w:rStyle w:val="Emphasis"/>
          <w:bCs/>
          <w:i w:val="0"/>
          <w:color w:val="333333"/>
        </w:rPr>
        <w:t>refers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only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to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those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forms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of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aid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that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are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mentioned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Article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16(5) GBER.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references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to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Section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3 </w:t>
      </w:r>
      <w:proofErr w:type="spellStart"/>
      <w:r w:rsidRPr="001D1905">
        <w:rPr>
          <w:rStyle w:val="Emphasis"/>
          <w:bCs/>
          <w:i w:val="0"/>
          <w:color w:val="333333"/>
        </w:rPr>
        <w:t>and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Article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39 </w:t>
      </w:r>
      <w:proofErr w:type="spellStart"/>
      <w:r w:rsidRPr="001D1905">
        <w:rPr>
          <w:rStyle w:val="Emphasis"/>
          <w:bCs/>
          <w:i w:val="0"/>
          <w:color w:val="333333"/>
        </w:rPr>
        <w:t>are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not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relevant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respect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of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urban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development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aid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measures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, </w:t>
      </w:r>
      <w:proofErr w:type="spellStart"/>
      <w:r w:rsidRPr="001D1905">
        <w:rPr>
          <w:rStyle w:val="Emphasis"/>
          <w:bCs/>
          <w:i w:val="0"/>
          <w:color w:val="333333"/>
        </w:rPr>
        <w:t>as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they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relate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to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risk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finance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aid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measures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and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energy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efficiency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projects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. </w:t>
      </w:r>
    </w:p>
    <w:p w:rsidR="001D1905" w:rsidRPr="001D1905" w:rsidRDefault="001D1905" w:rsidP="001D1905">
      <w:pPr>
        <w:pStyle w:val="NormalWeb"/>
        <w:jc w:val="both"/>
        <w:rPr>
          <w:rStyle w:val="Emphasis"/>
          <w:bCs/>
          <w:i w:val="0"/>
          <w:color w:val="333333"/>
        </w:rPr>
      </w:pPr>
      <w:r w:rsidRPr="001D1905">
        <w:rPr>
          <w:rStyle w:val="Emphasis"/>
          <w:bCs/>
          <w:i w:val="0"/>
          <w:color w:val="333333"/>
        </w:rPr>
        <w:lastRenderedPageBreak/>
        <w:t>b) </w:t>
      </w:r>
      <w:proofErr w:type="spellStart"/>
      <w:r w:rsidRPr="001D1905">
        <w:rPr>
          <w:rStyle w:val="Emphasis"/>
          <w:bCs/>
          <w:i w:val="0"/>
          <w:color w:val="333333"/>
        </w:rPr>
        <w:t>How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shall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be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interpreted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provision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for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aggregate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amount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of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private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investments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of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minimum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30 % </w:t>
      </w:r>
      <w:proofErr w:type="spellStart"/>
      <w:r w:rsidRPr="001D1905">
        <w:rPr>
          <w:rStyle w:val="Emphasis"/>
          <w:bCs/>
          <w:i w:val="0"/>
          <w:color w:val="333333"/>
        </w:rPr>
        <w:t>of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total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financing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provided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cases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where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: </w:t>
      </w:r>
    </w:p>
    <w:p w:rsidR="001D1905" w:rsidRPr="001D1905" w:rsidRDefault="001D1905" w:rsidP="001D1905">
      <w:pPr>
        <w:pStyle w:val="NormalWeb"/>
        <w:jc w:val="both"/>
        <w:rPr>
          <w:rStyle w:val="Emphasis"/>
          <w:bCs/>
          <w:i w:val="0"/>
          <w:color w:val="333333"/>
        </w:rPr>
      </w:pPr>
      <w:r w:rsidRPr="001D1905">
        <w:rPr>
          <w:rStyle w:val="Emphasis"/>
          <w:bCs/>
          <w:i w:val="0"/>
          <w:color w:val="333333"/>
        </w:rPr>
        <w:t xml:space="preserve">- 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aid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granted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by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Urban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development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fund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form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of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loans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and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</w:p>
    <w:p w:rsidR="001D1905" w:rsidRPr="001D1905" w:rsidRDefault="001D1905" w:rsidP="001D1905">
      <w:pPr>
        <w:pStyle w:val="NormalWeb"/>
        <w:jc w:val="both"/>
        <w:rPr>
          <w:rStyle w:val="Emphasis"/>
          <w:bCs/>
          <w:i w:val="0"/>
          <w:color w:val="333333"/>
        </w:rPr>
      </w:pPr>
      <w:r w:rsidRPr="001D1905">
        <w:rPr>
          <w:rStyle w:val="Emphasis"/>
          <w:bCs/>
          <w:i w:val="0"/>
          <w:color w:val="333333"/>
        </w:rPr>
        <w:t>-  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urban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development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projects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may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be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funded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by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other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sources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separate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from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loan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which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are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not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provided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by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Urban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development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fund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and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which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may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include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own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funds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of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entity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implementing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urban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development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project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, </w:t>
      </w:r>
      <w:proofErr w:type="spellStart"/>
      <w:r w:rsidRPr="001D1905">
        <w:rPr>
          <w:rStyle w:val="Emphasis"/>
          <w:bCs/>
          <w:i w:val="0"/>
          <w:color w:val="333333"/>
        </w:rPr>
        <w:t>other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private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funds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or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grants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from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public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sources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and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</w:p>
    <w:p w:rsidR="001D1905" w:rsidRPr="001D1905" w:rsidRDefault="001D1905" w:rsidP="001D1905">
      <w:pPr>
        <w:pStyle w:val="NormalWeb"/>
        <w:jc w:val="both"/>
        <w:rPr>
          <w:rStyle w:val="Emphasis"/>
          <w:bCs/>
          <w:i w:val="0"/>
          <w:color w:val="333333"/>
        </w:rPr>
      </w:pPr>
      <w:r w:rsidRPr="001D1905">
        <w:rPr>
          <w:rStyle w:val="Emphasis"/>
          <w:bCs/>
          <w:i w:val="0"/>
          <w:color w:val="333333"/>
        </w:rPr>
        <w:t>-  </w:t>
      </w:r>
      <w:proofErr w:type="spellStart"/>
      <w:r w:rsidRPr="001D1905">
        <w:rPr>
          <w:rStyle w:val="Emphasis"/>
          <w:bCs/>
          <w:i w:val="0"/>
          <w:color w:val="333333"/>
        </w:rPr>
        <w:t>in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case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of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funding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from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public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sources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respective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state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aid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rules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for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funding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are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applied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including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art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. 8 </w:t>
      </w:r>
      <w:proofErr w:type="spellStart"/>
      <w:r w:rsidRPr="001D1905">
        <w:rPr>
          <w:rStyle w:val="Emphasis"/>
          <w:bCs/>
          <w:i w:val="0"/>
          <w:color w:val="333333"/>
        </w:rPr>
        <w:t>of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GBER </w:t>
      </w:r>
      <w:proofErr w:type="spellStart"/>
      <w:r w:rsidRPr="001D1905">
        <w:rPr>
          <w:rStyle w:val="Emphasis"/>
          <w:bCs/>
          <w:i w:val="0"/>
          <w:color w:val="333333"/>
        </w:rPr>
        <w:t>for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cumulation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up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to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highest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aid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intensity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or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aid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amount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applicable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; </w:t>
      </w:r>
    </w:p>
    <w:p w:rsidR="001D1905" w:rsidRPr="001D1905" w:rsidRDefault="001D1905" w:rsidP="001D1905">
      <w:pPr>
        <w:pStyle w:val="NormalWeb"/>
        <w:jc w:val="both"/>
        <w:rPr>
          <w:rStyle w:val="Emphasis"/>
          <w:bCs/>
          <w:i w:val="0"/>
          <w:color w:val="333333"/>
        </w:rPr>
      </w:pPr>
      <w:proofErr w:type="spellStart"/>
      <w:r w:rsidRPr="001D1905">
        <w:rPr>
          <w:rStyle w:val="Emphasis"/>
          <w:bCs/>
          <w:i w:val="0"/>
          <w:color w:val="333333"/>
        </w:rPr>
        <w:t>In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that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respect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requirement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for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30 % </w:t>
      </w:r>
      <w:proofErr w:type="spellStart"/>
      <w:r w:rsidRPr="001D1905">
        <w:rPr>
          <w:rStyle w:val="Emphasis"/>
          <w:bCs/>
          <w:i w:val="0"/>
          <w:color w:val="333333"/>
        </w:rPr>
        <w:t>private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investments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applied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to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total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amount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of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sources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of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funding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for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urban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development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project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specified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above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(</w:t>
      </w:r>
      <w:proofErr w:type="spellStart"/>
      <w:r w:rsidRPr="001D1905">
        <w:rPr>
          <w:rStyle w:val="Emphasis"/>
          <w:bCs/>
          <w:i w:val="0"/>
          <w:color w:val="333333"/>
        </w:rPr>
        <w:t>incl</w:t>
      </w:r>
      <w:proofErr w:type="spellEnd"/>
      <w:r w:rsidRPr="001D1905">
        <w:rPr>
          <w:rStyle w:val="Emphasis"/>
          <w:bCs/>
          <w:i w:val="0"/>
          <w:color w:val="333333"/>
        </w:rPr>
        <w:t xml:space="preserve">. </w:t>
      </w:r>
      <w:proofErr w:type="spellStart"/>
      <w:r w:rsidRPr="001D1905">
        <w:rPr>
          <w:rStyle w:val="Emphasis"/>
          <w:bCs/>
          <w:i w:val="0"/>
          <w:color w:val="333333"/>
        </w:rPr>
        <w:t>own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funds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, </w:t>
      </w:r>
      <w:proofErr w:type="spellStart"/>
      <w:r w:rsidRPr="001D1905">
        <w:rPr>
          <w:rStyle w:val="Emphasis"/>
          <w:bCs/>
          <w:i w:val="0"/>
          <w:color w:val="333333"/>
        </w:rPr>
        <w:t>other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private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funds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or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grants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) </w:t>
      </w:r>
      <w:proofErr w:type="spellStart"/>
      <w:r w:rsidRPr="001D1905">
        <w:rPr>
          <w:rStyle w:val="Emphasis"/>
          <w:bCs/>
          <w:i w:val="0"/>
          <w:color w:val="333333"/>
        </w:rPr>
        <w:t>or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applied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to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total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amount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of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loan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provided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by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financial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instrument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(</w:t>
      </w:r>
      <w:proofErr w:type="spellStart"/>
      <w:r w:rsidRPr="001D1905">
        <w:rPr>
          <w:rStyle w:val="Emphasis"/>
          <w:bCs/>
          <w:i w:val="0"/>
          <w:color w:val="333333"/>
        </w:rPr>
        <w:t>Urban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development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fund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)? </w:t>
      </w:r>
    </w:p>
    <w:p w:rsidR="001D1905" w:rsidRPr="001D1905" w:rsidRDefault="001D1905" w:rsidP="001D1905">
      <w:pPr>
        <w:pStyle w:val="NormalWeb"/>
        <w:jc w:val="both"/>
        <w:rPr>
          <w:rStyle w:val="Emphasis"/>
          <w:bCs/>
          <w:i w:val="0"/>
          <w:color w:val="333333"/>
        </w:rPr>
      </w:pPr>
      <w:proofErr w:type="spellStart"/>
      <w:r w:rsidRPr="001D1905">
        <w:rPr>
          <w:rStyle w:val="Emphasis"/>
          <w:bCs/>
          <w:i w:val="0"/>
          <w:color w:val="333333"/>
        </w:rPr>
        <w:t>Reply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</w:p>
    <w:p w:rsidR="001D1905" w:rsidRPr="001D1905" w:rsidRDefault="001D1905" w:rsidP="001D1905">
      <w:pPr>
        <w:pStyle w:val="NormalWeb"/>
        <w:jc w:val="both"/>
        <w:rPr>
          <w:rStyle w:val="Emphasis"/>
          <w:bCs/>
          <w:i w:val="0"/>
          <w:color w:val="333333"/>
        </w:rPr>
      </w:pP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30% </w:t>
      </w:r>
      <w:proofErr w:type="spellStart"/>
      <w:r w:rsidRPr="001D1905">
        <w:rPr>
          <w:rStyle w:val="Emphasis"/>
          <w:bCs/>
          <w:i w:val="0"/>
          <w:color w:val="333333"/>
        </w:rPr>
        <w:t>requirement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applied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to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total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amount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of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loan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provided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by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financial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instrument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(</w:t>
      </w:r>
      <w:proofErr w:type="spellStart"/>
      <w:r w:rsidRPr="001D1905">
        <w:rPr>
          <w:rStyle w:val="Emphasis"/>
          <w:bCs/>
          <w:i w:val="0"/>
          <w:color w:val="333333"/>
        </w:rPr>
        <w:t>ie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urban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development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fund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). </w:t>
      </w:r>
      <w:proofErr w:type="spellStart"/>
      <w:r w:rsidRPr="001D1905">
        <w:rPr>
          <w:rStyle w:val="Emphasis"/>
          <w:bCs/>
          <w:i w:val="0"/>
          <w:color w:val="333333"/>
        </w:rPr>
        <w:t>This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follows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from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wording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of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Article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16(6) GBER: "[…] </w:t>
      </w:r>
      <w:proofErr w:type="spellStart"/>
      <w:r w:rsidRPr="001D1905">
        <w:rPr>
          <w:rStyle w:val="Emphasis"/>
          <w:bCs/>
          <w:i w:val="0"/>
          <w:color w:val="333333"/>
        </w:rPr>
        <w:t>at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level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of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urban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development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funds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or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urban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development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projects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[…]". </w:t>
      </w:r>
      <w:proofErr w:type="spellStart"/>
      <w:r w:rsidRPr="001D1905">
        <w:rPr>
          <w:rStyle w:val="Emphasis"/>
          <w:bCs/>
          <w:i w:val="0"/>
          <w:color w:val="333333"/>
        </w:rPr>
        <w:t>If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other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measures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including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aid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are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added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,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applicable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cumulation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rules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have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to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be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respected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. </w:t>
      </w:r>
    </w:p>
    <w:p w:rsidR="001D1905" w:rsidRPr="001D1905" w:rsidRDefault="001D1905" w:rsidP="001D1905">
      <w:pPr>
        <w:pStyle w:val="NormalWeb"/>
        <w:jc w:val="both"/>
        <w:rPr>
          <w:rStyle w:val="Emphasis"/>
          <w:bCs/>
          <w:i w:val="0"/>
          <w:color w:val="333333"/>
        </w:rPr>
      </w:pPr>
      <w:proofErr w:type="spellStart"/>
      <w:r w:rsidRPr="001D1905">
        <w:rPr>
          <w:rStyle w:val="Emphasis"/>
          <w:bCs/>
          <w:i w:val="0"/>
          <w:color w:val="333333"/>
        </w:rPr>
        <w:t>Shall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private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investors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under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art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. 16, </w:t>
      </w:r>
      <w:proofErr w:type="spellStart"/>
      <w:r w:rsidRPr="001D1905">
        <w:rPr>
          <w:rStyle w:val="Emphasis"/>
          <w:bCs/>
          <w:i w:val="0"/>
          <w:color w:val="333333"/>
        </w:rPr>
        <w:t>par</w:t>
      </w:r>
      <w:proofErr w:type="spellEnd"/>
      <w:r w:rsidRPr="001D1905">
        <w:rPr>
          <w:rStyle w:val="Emphasis"/>
          <w:bCs/>
          <w:i w:val="0"/>
          <w:color w:val="333333"/>
        </w:rPr>
        <w:t xml:space="preserve">. 6 </w:t>
      </w:r>
      <w:proofErr w:type="spellStart"/>
      <w:r w:rsidRPr="001D1905">
        <w:rPr>
          <w:rStyle w:val="Emphasis"/>
          <w:bCs/>
          <w:i w:val="0"/>
          <w:color w:val="333333"/>
        </w:rPr>
        <w:t>of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GBER </w:t>
      </w:r>
      <w:proofErr w:type="spellStart"/>
      <w:r w:rsidRPr="001D1905">
        <w:rPr>
          <w:rStyle w:val="Emphasis"/>
          <w:bCs/>
          <w:i w:val="0"/>
          <w:color w:val="333333"/>
        </w:rPr>
        <w:t>comply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with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definition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of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„</w:t>
      </w:r>
      <w:proofErr w:type="spellStart"/>
      <w:r w:rsidRPr="001D1905">
        <w:rPr>
          <w:rStyle w:val="Emphasis"/>
          <w:bCs/>
          <w:i w:val="0"/>
          <w:color w:val="333333"/>
        </w:rPr>
        <w:t>independent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private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investor</w:t>
      </w:r>
      <w:proofErr w:type="spellEnd"/>
      <w:r w:rsidRPr="001D1905">
        <w:rPr>
          <w:rStyle w:val="Emphasis"/>
          <w:bCs/>
          <w:i w:val="0"/>
          <w:color w:val="333333"/>
        </w:rPr>
        <w:t xml:space="preserve">“ </w:t>
      </w:r>
      <w:proofErr w:type="spellStart"/>
      <w:r w:rsidRPr="001D1905">
        <w:rPr>
          <w:rStyle w:val="Emphasis"/>
          <w:bCs/>
          <w:i w:val="0"/>
          <w:color w:val="333333"/>
        </w:rPr>
        <w:t>under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Art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. 2, </w:t>
      </w:r>
      <w:proofErr w:type="spellStart"/>
      <w:r w:rsidRPr="001D1905">
        <w:rPr>
          <w:rStyle w:val="Emphasis"/>
          <w:bCs/>
          <w:i w:val="0"/>
          <w:color w:val="333333"/>
        </w:rPr>
        <w:t>par</w:t>
      </w:r>
      <w:proofErr w:type="spellEnd"/>
      <w:r w:rsidRPr="001D1905">
        <w:rPr>
          <w:rStyle w:val="Emphasis"/>
          <w:bCs/>
          <w:i w:val="0"/>
          <w:color w:val="333333"/>
        </w:rPr>
        <w:t xml:space="preserve">. 72 </w:t>
      </w:r>
      <w:proofErr w:type="spellStart"/>
      <w:r w:rsidRPr="001D1905">
        <w:rPr>
          <w:rStyle w:val="Emphasis"/>
          <w:bCs/>
          <w:i w:val="0"/>
          <w:color w:val="333333"/>
        </w:rPr>
        <w:t>of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GBER? </w:t>
      </w:r>
    </w:p>
    <w:p w:rsidR="001D1905" w:rsidRPr="001D1905" w:rsidRDefault="001D1905" w:rsidP="001D1905">
      <w:pPr>
        <w:pStyle w:val="NormalWeb"/>
        <w:jc w:val="both"/>
        <w:rPr>
          <w:rStyle w:val="Emphasis"/>
          <w:bCs/>
          <w:i w:val="0"/>
          <w:color w:val="333333"/>
        </w:rPr>
      </w:pPr>
      <w:proofErr w:type="spellStart"/>
      <w:r w:rsidRPr="001D1905">
        <w:rPr>
          <w:rStyle w:val="Emphasis"/>
          <w:bCs/>
          <w:i w:val="0"/>
          <w:color w:val="333333"/>
        </w:rPr>
        <w:t>Reply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</w:p>
    <w:p w:rsidR="001D1905" w:rsidRPr="001D1905" w:rsidRDefault="001D1905" w:rsidP="001D1905">
      <w:pPr>
        <w:pStyle w:val="NormalWeb"/>
        <w:jc w:val="both"/>
        <w:rPr>
          <w:rStyle w:val="Emphasis"/>
          <w:bCs/>
          <w:i w:val="0"/>
          <w:color w:val="333333"/>
        </w:rPr>
      </w:pP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private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investors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referred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to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context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of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urban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development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have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to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be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independent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(</w:t>
      </w:r>
      <w:proofErr w:type="spellStart"/>
      <w:r w:rsidRPr="001D1905">
        <w:rPr>
          <w:rStyle w:val="Emphasis"/>
          <w:bCs/>
          <w:i w:val="0"/>
          <w:color w:val="333333"/>
        </w:rPr>
        <w:t>see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Article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16(8)(a) GBER). </w:t>
      </w:r>
      <w:proofErr w:type="spellStart"/>
      <w:r w:rsidRPr="001D1905">
        <w:rPr>
          <w:rStyle w:val="Emphasis"/>
          <w:bCs/>
          <w:i w:val="0"/>
          <w:color w:val="333333"/>
        </w:rPr>
        <w:t>The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requirements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of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</w:t>
      </w:r>
      <w:proofErr w:type="spellStart"/>
      <w:r w:rsidRPr="001D1905">
        <w:rPr>
          <w:rStyle w:val="Emphasis"/>
          <w:bCs/>
          <w:i w:val="0"/>
          <w:color w:val="333333"/>
        </w:rPr>
        <w:t>Article</w:t>
      </w:r>
      <w:proofErr w:type="spellEnd"/>
      <w:r w:rsidRPr="001D1905">
        <w:rPr>
          <w:rStyle w:val="Emphasis"/>
          <w:bCs/>
          <w:i w:val="0"/>
          <w:color w:val="333333"/>
        </w:rPr>
        <w:t xml:space="preserve"> 2, </w:t>
      </w:r>
      <w:proofErr w:type="spellStart"/>
      <w:r w:rsidRPr="001D1905">
        <w:rPr>
          <w:rStyle w:val="Emphasis"/>
          <w:bCs/>
          <w:i w:val="0"/>
          <w:color w:val="333333"/>
        </w:rPr>
        <w:t>para</w:t>
      </w:r>
      <w:proofErr w:type="spellEnd"/>
      <w:r w:rsidRPr="001D1905">
        <w:rPr>
          <w:rStyle w:val="Emphasis"/>
          <w:bCs/>
          <w:i w:val="0"/>
          <w:color w:val="333333"/>
        </w:rPr>
        <w:t xml:space="preserve">. 72 GBER </w:t>
      </w:r>
      <w:proofErr w:type="spellStart"/>
      <w:r w:rsidRPr="001D1905">
        <w:rPr>
          <w:rStyle w:val="Emphasis"/>
          <w:bCs/>
          <w:i w:val="0"/>
          <w:color w:val="333333"/>
        </w:rPr>
        <w:t>apply</w:t>
      </w:r>
      <w:proofErr w:type="spellEnd"/>
      <w:r w:rsidRPr="001D1905">
        <w:rPr>
          <w:rStyle w:val="Emphasis"/>
          <w:bCs/>
          <w:i w:val="0"/>
          <w:color w:val="333333"/>
        </w:rPr>
        <w:t xml:space="preserve">. </w:t>
      </w:r>
    </w:p>
    <w:p w:rsidR="001D1905" w:rsidRPr="001D1905" w:rsidRDefault="001D1905" w:rsidP="001D1905">
      <w:pPr>
        <w:pStyle w:val="NormalWeb"/>
        <w:jc w:val="both"/>
        <w:rPr>
          <w:rStyle w:val="Emphasis"/>
          <w:bCs/>
        </w:rPr>
      </w:pPr>
    </w:p>
    <w:p w:rsidR="0049510A" w:rsidRPr="0049510A" w:rsidRDefault="002105B5" w:rsidP="00230DD7">
      <w:pPr>
        <w:jc w:val="both"/>
        <w:rPr>
          <w:lang w:val="en-US"/>
        </w:rPr>
      </w:pPr>
      <w:proofErr w:type="spellStart"/>
      <w:r>
        <w:rPr>
          <w:rStyle w:val="Emphasis"/>
          <w:rFonts w:ascii="Helvetica" w:hAnsi="Helvetica" w:cs="Helvetica"/>
          <w:color w:val="333333"/>
        </w:rPr>
        <w:t>Disclaimer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: </w:t>
      </w:r>
      <w:proofErr w:type="spellStart"/>
      <w:r>
        <w:rPr>
          <w:rStyle w:val="Emphasis"/>
          <w:rFonts w:ascii="Helvetica" w:hAnsi="Helvetica" w:cs="Helvetica"/>
          <w:color w:val="333333"/>
        </w:rPr>
        <w:t>This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reply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does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not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represent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a </w:t>
      </w:r>
      <w:proofErr w:type="spellStart"/>
      <w:r>
        <w:rPr>
          <w:rStyle w:val="Emphasis"/>
          <w:rFonts w:ascii="Helvetica" w:hAnsi="Helvetica" w:cs="Helvetica"/>
          <w:color w:val="333333"/>
        </w:rPr>
        <w:t>formal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and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definite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position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of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the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European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Commission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but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is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only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an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informal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guidance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provided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by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the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services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of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DG </w:t>
      </w:r>
      <w:proofErr w:type="spellStart"/>
      <w:r>
        <w:rPr>
          <w:rStyle w:val="Emphasis"/>
          <w:rFonts w:ascii="Helvetica" w:hAnsi="Helvetica" w:cs="Helvetica"/>
          <w:color w:val="333333"/>
        </w:rPr>
        <w:t>Competition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to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facilitate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the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application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of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the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GBER. </w:t>
      </w:r>
      <w:proofErr w:type="spellStart"/>
      <w:r>
        <w:rPr>
          <w:rStyle w:val="Emphasis"/>
          <w:rFonts w:ascii="Helvetica" w:hAnsi="Helvetica" w:cs="Helvetica"/>
          <w:color w:val="333333"/>
        </w:rPr>
        <w:t>It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is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therefore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not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binding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and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cannot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create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legal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certainty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or</w:t>
      </w:r>
      <w:proofErr w:type="spellEnd"/>
      <w:r>
        <w:rPr>
          <w:rStyle w:val="Emphasis"/>
          <w:rFonts w:ascii="Helvetica" w:hAnsi="Helvetica" w:cs="Helvetica"/>
          <w:color w:val="333333"/>
        </w:rPr>
        <w:t xml:space="preserve"> </w:t>
      </w:r>
      <w:proofErr w:type="spellStart"/>
      <w:r>
        <w:rPr>
          <w:rStyle w:val="Emphasis"/>
          <w:rFonts w:ascii="Helvetica" w:hAnsi="Helvetica" w:cs="Helvetica"/>
          <w:color w:val="333333"/>
        </w:rPr>
        <w:t>legitimate</w:t>
      </w:r>
      <w:proofErr w:type="spellEnd"/>
      <w:r>
        <w:rPr>
          <w:rStyle w:val="Emphasis"/>
          <w:rFonts w:ascii="Helvetica" w:hAnsi="Helvetica" w:cs="Helvetica"/>
          <w:color w:val="333333"/>
        </w:rPr>
        <w:t> </w:t>
      </w:r>
      <w:proofErr w:type="spellStart"/>
      <w:r>
        <w:rPr>
          <w:rStyle w:val="Emphasis"/>
          <w:rFonts w:ascii="Helvetica" w:hAnsi="Helvetica" w:cs="Helvetica"/>
          <w:color w:val="333333"/>
        </w:rPr>
        <w:t>expectations</w:t>
      </w:r>
      <w:proofErr w:type="spellEnd"/>
      <w:r>
        <w:rPr>
          <w:rStyle w:val="Emphasis"/>
          <w:rFonts w:ascii="Helvetica" w:hAnsi="Helvetica" w:cs="Helvetica"/>
          <w:color w:val="333333"/>
        </w:rPr>
        <w:t>.</w:t>
      </w:r>
    </w:p>
    <w:sectPr w:rsidR="0049510A" w:rsidRPr="0049510A" w:rsidSect="001D1905">
      <w:pgSz w:w="11906" w:h="16838"/>
      <w:pgMar w:top="720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9D"/>
    <w:rsid w:val="000F6CFD"/>
    <w:rsid w:val="001D1905"/>
    <w:rsid w:val="002105B5"/>
    <w:rsid w:val="00221E3F"/>
    <w:rsid w:val="00230DD7"/>
    <w:rsid w:val="0049510A"/>
    <w:rsid w:val="00517436"/>
    <w:rsid w:val="005314FC"/>
    <w:rsid w:val="00593E86"/>
    <w:rsid w:val="005C3602"/>
    <w:rsid w:val="0064124D"/>
    <w:rsid w:val="007E2E7E"/>
    <w:rsid w:val="00911B9D"/>
    <w:rsid w:val="0091503B"/>
    <w:rsid w:val="00AC2A6A"/>
    <w:rsid w:val="00AF5460"/>
    <w:rsid w:val="00CA04BA"/>
    <w:rsid w:val="00D24972"/>
    <w:rsid w:val="00D45754"/>
    <w:rsid w:val="00D53A42"/>
    <w:rsid w:val="00D73809"/>
    <w:rsid w:val="00DC4A07"/>
    <w:rsid w:val="00E93701"/>
    <w:rsid w:val="00EC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D9CC"/>
  <w15:docId w15:val="{CC9705D6-BF1C-4709-BF25-109D0708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510A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49510A"/>
    <w:rPr>
      <w:i/>
      <w:iCs/>
    </w:rPr>
  </w:style>
  <w:style w:type="character" w:customStyle="1" w:styleId="expand-control-text">
    <w:name w:val="expand-control-text"/>
    <w:basedOn w:val="DefaultParagraphFont"/>
    <w:rsid w:val="0049510A"/>
  </w:style>
  <w:style w:type="character" w:customStyle="1" w:styleId="diff-html-added">
    <w:name w:val="diff-html-added"/>
    <w:basedOn w:val="DefaultParagraphFont"/>
    <w:rsid w:val="002105B5"/>
  </w:style>
  <w:style w:type="paragraph" w:customStyle="1" w:styleId="auto-cursor-target">
    <w:name w:val="auto-cursor-target"/>
    <w:basedOn w:val="Normal"/>
    <w:uiPriority w:val="99"/>
    <w:semiHidden/>
    <w:rsid w:val="00230D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customStyle="1" w:styleId="diff-html-removed">
    <w:name w:val="diff-html-removed"/>
    <w:basedOn w:val="DefaultParagraphFont"/>
    <w:rsid w:val="001D1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49450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77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463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57362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86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26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11259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27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04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72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6817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7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9725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743021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82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32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205334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16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256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805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Ивелина Кирилова</dc:creator>
  <cp:keywords/>
  <dc:description/>
  <cp:lastModifiedBy>Ивелина Кирилова</cp:lastModifiedBy>
  <cp:revision>11</cp:revision>
  <dcterms:created xsi:type="dcterms:W3CDTF">2016-07-19T14:46:00Z</dcterms:created>
  <dcterms:modified xsi:type="dcterms:W3CDTF">2017-10-11T10:09:00Z</dcterms:modified>
</cp:coreProperties>
</file>