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0A" w:rsidRDefault="0049510A" w:rsidP="001974D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Question:</w:t>
      </w:r>
    </w:p>
    <w:p w:rsidR="002105B5" w:rsidRPr="0049510A" w:rsidRDefault="002105B5" w:rsidP="001974D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</w:p>
    <w:p w:rsidR="001974DA" w:rsidRPr="001974DA" w:rsidRDefault="001974DA" w:rsidP="001974DA">
      <w:pPr>
        <w:pStyle w:val="NormalWeb"/>
        <w:spacing w:before="0"/>
        <w:jc w:val="both"/>
        <w:rPr>
          <w:rFonts w:ascii="Arial" w:hAnsi="Arial" w:cs="Arial"/>
          <w:color w:val="333333"/>
          <w:sz w:val="22"/>
          <w:szCs w:val="22"/>
        </w:rPr>
      </w:pPr>
      <w:r w:rsidRPr="001974DA">
        <w:rPr>
          <w:rFonts w:ascii="Helvetica" w:hAnsi="Helvetica" w:cs="Helvetica"/>
          <w:color w:val="333333"/>
        </w:rPr>
        <w:t>1</w:t>
      </w:r>
      <w:r w:rsidRPr="001974DA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Managing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Authority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will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provide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synergy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funding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under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European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structural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investment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funds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developing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of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network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of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European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Digital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Innovation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hubs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some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of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which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are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cofounded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others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have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Seal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of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excellence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According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GBER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Commission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Notice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2022/C 421/03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Article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25a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is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Aid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projects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awarded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Seal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of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Excellence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quality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label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however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in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points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1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5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text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concerns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only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Aid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SME’s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programs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Horizon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2020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Horizon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Europe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In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Commission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Notice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is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stated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that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SoE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can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be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awarded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is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laid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down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in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basic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acts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of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other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programs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within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EU’s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multiannual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financial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framework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e.g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Digital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Europe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Program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Does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art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. 25a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applies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to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projects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awarded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with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Seal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of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Excellence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under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DEP,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namely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development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of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European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Digital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Innovation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Hubs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>?</w:t>
      </w:r>
    </w:p>
    <w:p w:rsidR="001974DA" w:rsidRPr="001974DA" w:rsidRDefault="001974DA" w:rsidP="001974DA">
      <w:pPr>
        <w:pStyle w:val="NormalWeb"/>
        <w:jc w:val="both"/>
        <w:rPr>
          <w:rFonts w:ascii="Arial" w:hAnsi="Arial" w:cs="Arial"/>
          <w:color w:val="333333"/>
          <w:sz w:val="22"/>
          <w:szCs w:val="22"/>
        </w:rPr>
      </w:pPr>
      <w:r w:rsidRPr="001974DA">
        <w:rPr>
          <w:rFonts w:ascii="Arial" w:hAnsi="Arial" w:cs="Arial"/>
          <w:color w:val="333333"/>
          <w:sz w:val="22"/>
          <w:szCs w:val="22"/>
        </w:rPr>
        <w:t xml:space="preserve">2.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In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case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of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cumulative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funding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i.e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. 50%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from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DEP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50%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from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European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structural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and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investment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funds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will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this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be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in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line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with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provisions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of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art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8(2)?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Is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funding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from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DEP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considered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public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funding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in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line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with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provisions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of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974DA">
        <w:rPr>
          <w:rFonts w:ascii="Arial" w:hAnsi="Arial" w:cs="Arial"/>
          <w:color w:val="333333"/>
          <w:sz w:val="22"/>
          <w:szCs w:val="22"/>
        </w:rPr>
        <w:t>art</w:t>
      </w:r>
      <w:proofErr w:type="spellEnd"/>
      <w:r w:rsidRPr="001974DA">
        <w:rPr>
          <w:rFonts w:ascii="Arial" w:hAnsi="Arial" w:cs="Arial"/>
          <w:color w:val="333333"/>
          <w:sz w:val="22"/>
          <w:szCs w:val="22"/>
        </w:rPr>
        <w:t xml:space="preserve"> 8(2)?</w:t>
      </w:r>
    </w:p>
    <w:p w:rsidR="002105B5" w:rsidRPr="001974DA" w:rsidRDefault="001974DA" w:rsidP="001974DA">
      <w:pPr>
        <w:jc w:val="both"/>
        <w:rPr>
          <w:rStyle w:val="Emphasis"/>
          <w:rFonts w:ascii="Arial" w:hAnsi="Arial" w:cs="Arial"/>
          <w:color w:val="333333"/>
        </w:rPr>
      </w:pPr>
      <w:r w:rsidRPr="001974DA">
        <w:rPr>
          <w:rStyle w:val="Emphasis"/>
          <w:rFonts w:ascii="Arial" w:hAnsi="Arial" w:cs="Arial"/>
          <w:color w:val="333333"/>
        </w:rPr>
        <w:t xml:space="preserve">3. </w:t>
      </w:r>
      <w:proofErr w:type="spellStart"/>
      <w:r w:rsidRPr="001974DA">
        <w:rPr>
          <w:rFonts w:ascii="Arial" w:hAnsi="Arial" w:cs="Arial"/>
          <w:color w:val="333333"/>
        </w:rPr>
        <w:t>In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case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of</w:t>
      </w:r>
      <w:proofErr w:type="spellEnd"/>
      <w:r w:rsidRPr="001974DA">
        <w:rPr>
          <w:rFonts w:ascii="Arial" w:hAnsi="Arial" w:cs="Arial"/>
          <w:color w:val="333333"/>
        </w:rPr>
        <w:t xml:space="preserve"> EDIH </w:t>
      </w:r>
      <w:proofErr w:type="spellStart"/>
      <w:r w:rsidRPr="001974DA">
        <w:rPr>
          <w:rFonts w:ascii="Arial" w:hAnsi="Arial" w:cs="Arial"/>
          <w:color w:val="333333"/>
        </w:rPr>
        <w:t>with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Seal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of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Excellence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is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it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possible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to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combine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aid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granted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under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art</w:t>
      </w:r>
      <w:proofErr w:type="spellEnd"/>
      <w:r w:rsidRPr="001974DA">
        <w:rPr>
          <w:rFonts w:ascii="Arial" w:hAnsi="Arial" w:cs="Arial"/>
          <w:color w:val="333333"/>
        </w:rPr>
        <w:t xml:space="preserve">. 25d </w:t>
      </w:r>
      <w:proofErr w:type="spellStart"/>
      <w:r w:rsidRPr="001974DA">
        <w:rPr>
          <w:rFonts w:ascii="Arial" w:hAnsi="Arial" w:cs="Arial"/>
          <w:color w:val="333333"/>
        </w:rPr>
        <w:t>with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aid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under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art</w:t>
      </w:r>
      <w:proofErr w:type="spellEnd"/>
      <w:r w:rsidRPr="001974DA">
        <w:rPr>
          <w:rFonts w:ascii="Arial" w:hAnsi="Arial" w:cs="Arial"/>
          <w:color w:val="333333"/>
        </w:rPr>
        <w:t xml:space="preserve">. 28? </w:t>
      </w:r>
      <w:proofErr w:type="spellStart"/>
      <w:r w:rsidRPr="001974DA">
        <w:rPr>
          <w:rFonts w:ascii="Arial" w:hAnsi="Arial" w:cs="Arial"/>
          <w:color w:val="333333"/>
        </w:rPr>
        <w:t>What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should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be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maximum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allowed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intensity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of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the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aid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in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this</w:t>
      </w:r>
      <w:proofErr w:type="spellEnd"/>
      <w:r w:rsidRPr="001974DA">
        <w:rPr>
          <w:rFonts w:ascii="Arial" w:hAnsi="Arial" w:cs="Arial"/>
          <w:color w:val="333333"/>
        </w:rPr>
        <w:t xml:space="preserve"> </w:t>
      </w:r>
      <w:proofErr w:type="spellStart"/>
      <w:r w:rsidRPr="001974DA">
        <w:rPr>
          <w:rFonts w:ascii="Arial" w:hAnsi="Arial" w:cs="Arial"/>
          <w:color w:val="333333"/>
        </w:rPr>
        <w:t>case</w:t>
      </w:r>
      <w:proofErr w:type="spellEnd"/>
      <w:r w:rsidRPr="001974DA">
        <w:rPr>
          <w:rFonts w:ascii="Arial" w:hAnsi="Arial" w:cs="Arial"/>
          <w:color w:val="333333"/>
        </w:rPr>
        <w:t>? </w:t>
      </w:r>
      <w:r w:rsidRPr="001974DA">
        <w:rPr>
          <w:rStyle w:val="Emphasis"/>
          <w:rFonts w:ascii="Arial" w:hAnsi="Arial" w:cs="Arial"/>
          <w:color w:val="333333"/>
        </w:rPr>
        <w:t xml:space="preserve"> </w:t>
      </w:r>
    </w:p>
    <w:p w:rsidR="001974DA" w:rsidRPr="002105B5" w:rsidRDefault="001974DA" w:rsidP="001974DA">
      <w:pPr>
        <w:jc w:val="both"/>
        <w:rPr>
          <w:lang w:val="en-US"/>
        </w:rPr>
      </w:pPr>
    </w:p>
    <w:p w:rsidR="0049510A" w:rsidRPr="0049510A" w:rsidRDefault="0049510A" w:rsidP="001974DA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  <w:proofErr w:type="spellStart"/>
      <w:r w:rsidRPr="0049510A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Reply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:</w:t>
      </w:r>
    </w:p>
    <w:p w:rsidR="00283772" w:rsidRDefault="001974DA" w:rsidP="0028377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lang w:eastAsia="bg-BG"/>
        </w:rPr>
      </w:pP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No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,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article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25a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of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the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GBER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applies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only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to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R&amp;D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projects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(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carried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out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by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SMEs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)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awarded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with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a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Seal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of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Excellence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following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an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evaluation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and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selection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under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the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Horizon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Europe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1974DA">
        <w:rPr>
          <w:rFonts w:ascii="Arial" w:eastAsia="Times New Roman" w:hAnsi="Arial" w:cs="Arial"/>
          <w:color w:val="333333"/>
          <w:lang w:eastAsia="bg-BG"/>
        </w:rPr>
        <w:t>programme</w:t>
      </w:r>
      <w:proofErr w:type="spellEnd"/>
      <w:r w:rsidRPr="001974DA">
        <w:rPr>
          <w:rFonts w:ascii="Arial" w:eastAsia="Times New Roman" w:hAnsi="Arial" w:cs="Arial"/>
          <w:color w:val="333333"/>
          <w:lang w:eastAsia="bg-BG"/>
        </w:rPr>
        <w:t>.</w:t>
      </w:r>
      <w:r w:rsidRPr="001974DA">
        <w:rPr>
          <w:rFonts w:ascii="Arial" w:eastAsia="Times New Roman" w:hAnsi="Arial" w:cs="Arial"/>
          <w:color w:val="333333"/>
          <w:lang w:eastAsia="bg-BG"/>
        </w:rPr>
        <w:t xml:space="preserve"> </w:t>
      </w:r>
    </w:p>
    <w:p w:rsidR="00283772" w:rsidRDefault="001974DA" w:rsidP="0028377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lang w:eastAsia="bg-BG"/>
        </w:rPr>
      </w:pP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Indeed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,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public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funding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awarded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under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DEP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programme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is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considered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Union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funding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centrally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managed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by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EU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Commission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that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is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not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directly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or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indirectly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under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control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of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Member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State.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Thus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,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cumulation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rules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set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out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in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article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8(2)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of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GBER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apply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to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State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aid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combined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with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DEP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funding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in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view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of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supporting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EDIHs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for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same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eligible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costs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.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In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line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with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article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8 (2)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of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GBER “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total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amount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of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public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funding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granted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in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relation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to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same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eligible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costs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does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not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exceed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most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favourable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funding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rate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laid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down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in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applicable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rules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of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Union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law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”.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We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note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that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under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DEP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programme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rules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,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EDIHs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can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benefit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from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100%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of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public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funding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(50%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State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aid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and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50%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DEP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money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)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providing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that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State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aid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and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DEP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resources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are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combined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to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cover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same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eligible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costs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which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are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set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out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under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Article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27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of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GBER.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This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is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therefore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in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line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with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article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8(2)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of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GBER.</w:t>
      </w:r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</w:p>
    <w:p w:rsidR="001974DA" w:rsidRPr="00283772" w:rsidRDefault="001974DA" w:rsidP="0028377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lang w:eastAsia="bg-BG"/>
        </w:rPr>
      </w:pP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Article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25d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of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GBER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concerns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aid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for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Teaming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actions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supported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under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Horizon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Europe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programme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.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We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therefore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do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not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see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possibility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to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apply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article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25d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to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State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aid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support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granted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to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EDIHs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and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there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would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thus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not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be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any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cumulation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of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aid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under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Article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28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with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aid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for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EDIH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under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  <w:proofErr w:type="spellStart"/>
      <w:r w:rsidRPr="00283772">
        <w:rPr>
          <w:rFonts w:ascii="Arial" w:eastAsia="Times New Roman" w:hAnsi="Arial" w:cs="Arial"/>
          <w:color w:val="333333"/>
          <w:lang w:eastAsia="bg-BG"/>
        </w:rPr>
        <w:t>Article</w:t>
      </w:r>
      <w:proofErr w:type="spellEnd"/>
      <w:r w:rsidRPr="00283772">
        <w:rPr>
          <w:rFonts w:ascii="Arial" w:eastAsia="Times New Roman" w:hAnsi="Arial" w:cs="Arial"/>
          <w:color w:val="333333"/>
          <w:lang w:eastAsia="bg-BG"/>
        </w:rPr>
        <w:t xml:space="preserve"> 25d.</w:t>
      </w:r>
      <w:r w:rsidRPr="00283772">
        <w:rPr>
          <w:rFonts w:ascii="Arial" w:eastAsia="Times New Roman" w:hAnsi="Arial" w:cs="Arial"/>
          <w:color w:val="333333"/>
          <w:lang w:eastAsia="bg-BG"/>
        </w:rPr>
        <w:t xml:space="preserve"> </w:t>
      </w:r>
    </w:p>
    <w:p w:rsidR="002105B5" w:rsidRPr="002105B5" w:rsidRDefault="002105B5" w:rsidP="001974DA">
      <w:pPr>
        <w:pStyle w:val="NormalWeb"/>
        <w:jc w:val="both"/>
        <w:rPr>
          <w:rFonts w:ascii="Helvetica" w:hAnsi="Helvetica" w:cs="Helvetica"/>
          <w:color w:val="333333"/>
          <w:lang w:val="en-US"/>
        </w:rPr>
      </w:pPr>
    </w:p>
    <w:p w:rsidR="0049510A" w:rsidRPr="0049510A" w:rsidRDefault="002105B5" w:rsidP="001974DA">
      <w:pPr>
        <w:jc w:val="both"/>
        <w:rPr>
          <w:lang w:val="en-US"/>
        </w:rPr>
      </w:pPr>
      <w:proofErr w:type="spellStart"/>
      <w:r>
        <w:rPr>
          <w:rStyle w:val="Emphasis"/>
          <w:rFonts w:ascii="Helvetica" w:hAnsi="Helvetica" w:cs="Helvetica"/>
          <w:color w:val="333333"/>
        </w:rPr>
        <w:t>Disclaimer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: </w:t>
      </w:r>
      <w:proofErr w:type="spellStart"/>
      <w:r>
        <w:rPr>
          <w:rStyle w:val="Emphasis"/>
          <w:rFonts w:ascii="Helvetica" w:hAnsi="Helvetica" w:cs="Helvetica"/>
          <w:color w:val="333333"/>
        </w:rPr>
        <w:t>This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reply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does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not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represent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a </w:t>
      </w:r>
      <w:proofErr w:type="spellStart"/>
      <w:r>
        <w:rPr>
          <w:rStyle w:val="Emphasis"/>
          <w:rFonts w:ascii="Helvetica" w:hAnsi="Helvetica" w:cs="Helvetica"/>
          <w:color w:val="333333"/>
        </w:rPr>
        <w:t>formal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and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definite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position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European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Commission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but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only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informal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guidance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provided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services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DG </w:t>
      </w:r>
      <w:proofErr w:type="spellStart"/>
      <w:r>
        <w:rPr>
          <w:rStyle w:val="Emphasis"/>
          <w:rFonts w:ascii="Helvetica" w:hAnsi="Helvetica" w:cs="Helvetica"/>
          <w:color w:val="333333"/>
        </w:rPr>
        <w:t>Competition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to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facilitate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application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GBER. </w:t>
      </w:r>
      <w:proofErr w:type="spellStart"/>
      <w:r>
        <w:rPr>
          <w:rStyle w:val="Emphasis"/>
          <w:rFonts w:ascii="Helvetica" w:hAnsi="Helvetica" w:cs="Helvetica"/>
          <w:color w:val="333333"/>
        </w:rPr>
        <w:t>It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therefore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not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binding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and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canno</w:t>
      </w:r>
      <w:bookmarkStart w:id="0" w:name="_GoBack"/>
      <w:bookmarkEnd w:id="0"/>
      <w:r>
        <w:rPr>
          <w:rStyle w:val="Emphasis"/>
          <w:rFonts w:ascii="Helvetica" w:hAnsi="Helvetica" w:cs="Helvetica"/>
          <w:color w:val="333333"/>
        </w:rPr>
        <w:t>t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create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legal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certainty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or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legitimate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expectations</w:t>
      </w:r>
      <w:proofErr w:type="spellEnd"/>
      <w:r>
        <w:rPr>
          <w:rStyle w:val="Emphasis"/>
          <w:rFonts w:ascii="Helvetica" w:hAnsi="Helvetica" w:cs="Helvetica"/>
          <w:color w:val="333333"/>
        </w:rPr>
        <w:t>.</w:t>
      </w:r>
    </w:p>
    <w:sectPr w:rsidR="0049510A" w:rsidRPr="0049510A" w:rsidSect="00AF5460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E20"/>
    <w:multiLevelType w:val="multilevel"/>
    <w:tmpl w:val="BF46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D"/>
    <w:rsid w:val="000F6CFD"/>
    <w:rsid w:val="001974DA"/>
    <w:rsid w:val="002105B5"/>
    <w:rsid w:val="00221E3F"/>
    <w:rsid w:val="00283772"/>
    <w:rsid w:val="0049510A"/>
    <w:rsid w:val="00517436"/>
    <w:rsid w:val="005314FC"/>
    <w:rsid w:val="00593E86"/>
    <w:rsid w:val="005C3602"/>
    <w:rsid w:val="0064124D"/>
    <w:rsid w:val="007E2E7E"/>
    <w:rsid w:val="00911B9D"/>
    <w:rsid w:val="0091503B"/>
    <w:rsid w:val="00AC2A6A"/>
    <w:rsid w:val="00AF5460"/>
    <w:rsid w:val="00CA04BA"/>
    <w:rsid w:val="00D24972"/>
    <w:rsid w:val="00D45754"/>
    <w:rsid w:val="00D53A42"/>
    <w:rsid w:val="00D73809"/>
    <w:rsid w:val="00DC4A07"/>
    <w:rsid w:val="00E93701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9CA6"/>
  <w15:docId w15:val="{B3AFB8A3-AAE6-4686-A81D-B54AEA9A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1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49510A"/>
    <w:rPr>
      <w:i/>
      <w:iCs/>
    </w:rPr>
  </w:style>
  <w:style w:type="character" w:customStyle="1" w:styleId="expand-control-text">
    <w:name w:val="expand-control-text"/>
    <w:basedOn w:val="DefaultParagraphFont"/>
    <w:rsid w:val="0049510A"/>
  </w:style>
  <w:style w:type="character" w:customStyle="1" w:styleId="diff-html-added">
    <w:name w:val="diff-html-added"/>
    <w:basedOn w:val="DefaultParagraphFont"/>
    <w:rsid w:val="0021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4945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4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36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125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72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681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72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302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053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16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5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11</cp:revision>
  <dcterms:created xsi:type="dcterms:W3CDTF">2016-07-19T14:46:00Z</dcterms:created>
  <dcterms:modified xsi:type="dcterms:W3CDTF">2023-02-27T12:50:00Z</dcterms:modified>
</cp:coreProperties>
</file>