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02" w:rsidRPr="00CB333D" w:rsidRDefault="0063194C" w:rsidP="0063194C">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B7F366F1F0C49C39842BBAE7A92E7E6" style="width:450.7pt;height:395.55pt">
            <v:imagedata r:id="rId8" o:title=""/>
          </v:shape>
        </w:pict>
      </w:r>
    </w:p>
    <w:p w:rsidR="007052EE" w:rsidRPr="00CB333D" w:rsidRDefault="007052EE" w:rsidP="00CC4C68">
      <w:pPr>
        <w:sectPr w:rsidR="007052EE" w:rsidRPr="00CB333D" w:rsidSect="0063194C">
          <w:footerReference w:type="default" r:id="rId9"/>
          <w:pgSz w:w="11907" w:h="16839"/>
          <w:pgMar w:top="1134" w:right="1417" w:bottom="1134" w:left="1417" w:header="709" w:footer="709" w:gutter="0"/>
          <w:pgNumType w:start="1"/>
          <w:cols w:space="708"/>
          <w:docGrid w:linePitch="360"/>
        </w:sectPr>
      </w:pPr>
    </w:p>
    <w:p w:rsidR="0088330A" w:rsidRDefault="0088330A" w:rsidP="0088330A">
      <w:pPr>
        <w:pStyle w:val="TOCHeading"/>
      </w:pPr>
      <w:r>
        <w:lastRenderedPageBreak/>
        <w:t>СЪДЪРЖАНИЕ</w:t>
      </w:r>
    </w:p>
    <w:p w:rsidR="0088330A" w:rsidRPr="000773EE" w:rsidRDefault="0088330A">
      <w:pPr>
        <w:pStyle w:val="TOC7"/>
      </w:pPr>
      <w:r w:rsidRPr="0088330A">
        <w:t>ГЛАВА I</w:t>
      </w:r>
      <w:r w:rsidRPr="0088330A">
        <w:tab/>
      </w:r>
      <w:r>
        <w:fldChar w:fldCharType="begin"/>
      </w:r>
      <w:r>
        <w:instrText xml:space="preserve"> PAGEREF \h _Toc377391815 \* MERGEFORMAT </w:instrText>
      </w:r>
      <w:r>
        <w:fldChar w:fldCharType="separate"/>
      </w:r>
      <w:r>
        <w:rPr>
          <w:noProof/>
        </w:rPr>
        <w:t>23</w:t>
      </w:r>
      <w:r>
        <w:fldChar w:fldCharType="end"/>
      </w:r>
    </w:p>
    <w:p w:rsidR="0088330A" w:rsidRPr="000773EE" w:rsidRDefault="0088330A">
      <w:pPr>
        <w:pStyle w:val="TOC7"/>
      </w:pPr>
      <w:r w:rsidRPr="0088330A">
        <w:t>ГЛАВА II Процедурни изисквания</w:t>
      </w:r>
      <w:r w:rsidRPr="0088330A">
        <w:tab/>
      </w:r>
      <w:r>
        <w:fldChar w:fldCharType="begin"/>
      </w:r>
      <w:r>
        <w:instrText xml:space="preserve"> PAGEREF \h _Toc377391816 \* MERGEFORMAT </w:instrText>
      </w:r>
      <w:r>
        <w:fldChar w:fldCharType="separate"/>
      </w:r>
      <w:r>
        <w:rPr>
          <w:noProof/>
        </w:rPr>
        <w:t>33</w:t>
      </w:r>
      <w:r>
        <w:fldChar w:fldCharType="end"/>
      </w:r>
    </w:p>
    <w:p w:rsidR="0088330A" w:rsidRPr="000773EE" w:rsidRDefault="0088330A">
      <w:pPr>
        <w:pStyle w:val="TOC7"/>
      </w:pPr>
      <w:r w:rsidRPr="0088330A">
        <w:t>ГЛАВА III Специални разпоредби за различните категории помощи</w:t>
      </w:r>
      <w:r w:rsidRPr="0088330A">
        <w:tab/>
      </w:r>
      <w:r>
        <w:fldChar w:fldCharType="begin"/>
      </w:r>
      <w:r>
        <w:instrText xml:space="preserve"> PAGEREF \h _Toc377391817 \* MERGEFORMAT </w:instrText>
      </w:r>
      <w:r>
        <w:fldChar w:fldCharType="separate"/>
      </w:r>
      <w:r>
        <w:rPr>
          <w:noProof/>
        </w:rPr>
        <w:t>34</w:t>
      </w:r>
      <w:r>
        <w:fldChar w:fldCharType="end"/>
      </w:r>
    </w:p>
    <w:p w:rsidR="0088330A" w:rsidRPr="000773EE" w:rsidRDefault="0088330A">
      <w:pPr>
        <w:pStyle w:val="TOC8"/>
      </w:pPr>
      <w:r w:rsidRPr="0088330A">
        <w:t>Раздел 1 - Регионална помощ</w:t>
      </w:r>
      <w:r w:rsidRPr="0088330A">
        <w:tab/>
      </w:r>
      <w:r>
        <w:fldChar w:fldCharType="begin"/>
      </w:r>
      <w:r>
        <w:instrText xml:space="preserve"> PAGEREF \h _Toc377391818 \* MERGEFORMAT </w:instrText>
      </w:r>
      <w:r>
        <w:fldChar w:fldCharType="separate"/>
      </w:r>
      <w:r>
        <w:rPr>
          <w:noProof/>
        </w:rPr>
        <w:t>34</w:t>
      </w:r>
      <w:r>
        <w:fldChar w:fldCharType="end"/>
      </w:r>
    </w:p>
    <w:p w:rsidR="0088330A" w:rsidRPr="000773EE" w:rsidRDefault="0088330A">
      <w:pPr>
        <w:pStyle w:val="TOC8"/>
      </w:pPr>
      <w:r w:rsidRPr="0088330A">
        <w:t>Раздел 2 – Помощи за МСП</w:t>
      </w:r>
      <w:r w:rsidRPr="0088330A">
        <w:tab/>
      </w:r>
      <w:r>
        <w:fldChar w:fldCharType="begin"/>
      </w:r>
      <w:r>
        <w:instrText xml:space="preserve"> PAGEREF \h _Toc377391819 \* MERGEFORMAT </w:instrText>
      </w:r>
      <w:r>
        <w:fldChar w:fldCharType="separate"/>
      </w:r>
      <w:r>
        <w:rPr>
          <w:noProof/>
        </w:rPr>
        <w:t>41</w:t>
      </w:r>
      <w:r>
        <w:fldChar w:fldCharType="end"/>
      </w:r>
    </w:p>
    <w:p w:rsidR="0088330A" w:rsidRPr="000773EE" w:rsidRDefault="0088330A">
      <w:pPr>
        <w:pStyle w:val="TOC8"/>
      </w:pPr>
      <w:r w:rsidRPr="0088330A">
        <w:t>Раздел 3 — Помощи за достъп на МСП до финансиране</w:t>
      </w:r>
      <w:r w:rsidRPr="0088330A">
        <w:tab/>
      </w:r>
      <w:r>
        <w:fldChar w:fldCharType="begin"/>
      </w:r>
      <w:r>
        <w:instrText xml:space="preserve"> PAGEREF \h _Toc377391820 \* MERGEFORMAT </w:instrText>
      </w:r>
      <w:r>
        <w:fldChar w:fldCharType="separate"/>
      </w:r>
      <w:r>
        <w:rPr>
          <w:noProof/>
        </w:rPr>
        <w:t>43</w:t>
      </w:r>
      <w:r>
        <w:fldChar w:fldCharType="end"/>
      </w:r>
    </w:p>
    <w:p w:rsidR="0088330A" w:rsidRPr="000773EE" w:rsidRDefault="0088330A">
      <w:pPr>
        <w:pStyle w:val="TOC8"/>
      </w:pPr>
      <w:r w:rsidRPr="0088330A">
        <w:t>Раздел 4 – Помощ за научноизследователска и развойна дейност и иновации</w:t>
      </w:r>
      <w:r w:rsidRPr="0088330A">
        <w:tab/>
      </w:r>
      <w:r>
        <w:fldChar w:fldCharType="begin"/>
      </w:r>
      <w:r>
        <w:instrText xml:space="preserve"> PAGEREF \h _Toc377391821 \* MERGEFORMAT </w:instrText>
      </w:r>
      <w:r>
        <w:fldChar w:fldCharType="separate"/>
      </w:r>
      <w:r>
        <w:rPr>
          <w:noProof/>
        </w:rPr>
        <w:t>49</w:t>
      </w:r>
      <w:r>
        <w:fldChar w:fldCharType="end"/>
      </w:r>
    </w:p>
    <w:p w:rsidR="0088330A" w:rsidRPr="000773EE" w:rsidRDefault="0088330A">
      <w:pPr>
        <w:pStyle w:val="TOC8"/>
      </w:pPr>
      <w:r w:rsidRPr="0088330A">
        <w:t>Раздел 5 — Помощ за обучение</w:t>
      </w:r>
      <w:r w:rsidRPr="0088330A">
        <w:tab/>
      </w:r>
      <w:r>
        <w:fldChar w:fldCharType="begin"/>
      </w:r>
      <w:r>
        <w:instrText xml:space="preserve"> PAGEREF \h _Toc377391822 \* MERGEFORMAT </w:instrText>
      </w:r>
      <w:r>
        <w:fldChar w:fldCharType="separate"/>
      </w:r>
      <w:r>
        <w:rPr>
          <w:noProof/>
        </w:rPr>
        <w:t>54</w:t>
      </w:r>
      <w:r>
        <w:fldChar w:fldCharType="end"/>
      </w:r>
    </w:p>
    <w:p w:rsidR="0088330A" w:rsidRPr="000773EE" w:rsidRDefault="0088330A">
      <w:pPr>
        <w:pStyle w:val="TOC8"/>
      </w:pPr>
      <w:r w:rsidRPr="0088330A">
        <w:t>Раздел 6 - Помощи за работещи в неравностойно положение и работещи с увреждания</w:t>
      </w:r>
      <w:r w:rsidRPr="0088330A">
        <w:tab/>
      </w:r>
      <w:r>
        <w:fldChar w:fldCharType="begin"/>
      </w:r>
      <w:r>
        <w:instrText xml:space="preserve"> PAGEREF \h _Toc377391823 \* MERGEFORMAT </w:instrText>
      </w:r>
      <w:r>
        <w:fldChar w:fldCharType="separate"/>
      </w:r>
      <w:r>
        <w:rPr>
          <w:noProof/>
        </w:rPr>
        <w:t>55</w:t>
      </w:r>
      <w:r>
        <w:fldChar w:fldCharType="end"/>
      </w:r>
    </w:p>
    <w:p w:rsidR="0088330A" w:rsidRPr="000773EE" w:rsidRDefault="0088330A">
      <w:pPr>
        <w:pStyle w:val="TOC8"/>
      </w:pPr>
      <w:r w:rsidRPr="0088330A">
        <w:t>Раздел 7 — Помощ за опазване на околната среда</w:t>
      </w:r>
      <w:r w:rsidRPr="0088330A">
        <w:tab/>
      </w:r>
      <w:r>
        <w:fldChar w:fldCharType="begin"/>
      </w:r>
      <w:r>
        <w:instrText xml:space="preserve"> PAGEREF \h _Toc377391824 \* MERGEFORMAT </w:instrText>
      </w:r>
      <w:r>
        <w:fldChar w:fldCharType="separate"/>
      </w:r>
      <w:r>
        <w:rPr>
          <w:noProof/>
        </w:rPr>
        <w:t>57</w:t>
      </w:r>
      <w:r>
        <w:fldChar w:fldCharType="end"/>
      </w:r>
    </w:p>
    <w:p w:rsidR="0088330A" w:rsidRPr="000773EE" w:rsidRDefault="0088330A">
      <w:pPr>
        <w:pStyle w:val="TOC8"/>
      </w:pPr>
      <w:r w:rsidRPr="0088330A">
        <w:t>Раздел 8 — Помощи за отстраняване на щети, причинени от някои природни бедствия</w:t>
      </w:r>
      <w:r w:rsidRPr="0088330A">
        <w:tab/>
      </w:r>
      <w:r>
        <w:fldChar w:fldCharType="begin"/>
      </w:r>
      <w:r>
        <w:instrText xml:space="preserve"> PAGEREF \h _Toc377391825 \* MERGEFORMAT </w:instrText>
      </w:r>
      <w:r>
        <w:fldChar w:fldCharType="separate"/>
      </w:r>
      <w:r>
        <w:rPr>
          <w:noProof/>
        </w:rPr>
        <w:t>68</w:t>
      </w:r>
      <w:r>
        <w:fldChar w:fldCharType="end"/>
      </w:r>
    </w:p>
    <w:p w:rsidR="0088330A" w:rsidRPr="000773EE" w:rsidRDefault="0088330A">
      <w:pPr>
        <w:pStyle w:val="TOC8"/>
      </w:pPr>
      <w:r w:rsidRPr="0088330A">
        <w:t>Раздел 9 — Социални помощи за транспорт за живеещите в отдалечени региони</w:t>
      </w:r>
      <w:r w:rsidRPr="0088330A">
        <w:tab/>
      </w:r>
      <w:r>
        <w:fldChar w:fldCharType="begin"/>
      </w:r>
      <w:r>
        <w:instrText xml:space="preserve"> PAGEREF \h _Toc377391826 \* MERGEFORMAT </w:instrText>
      </w:r>
      <w:r>
        <w:fldChar w:fldCharType="separate"/>
      </w:r>
      <w:r>
        <w:rPr>
          <w:noProof/>
        </w:rPr>
        <w:t>69</w:t>
      </w:r>
      <w:r>
        <w:fldChar w:fldCharType="end"/>
      </w:r>
    </w:p>
    <w:p w:rsidR="0088330A" w:rsidRPr="000773EE" w:rsidRDefault="0088330A">
      <w:pPr>
        <w:pStyle w:val="TOC8"/>
      </w:pPr>
      <w:r w:rsidRPr="0088330A">
        <w:t>Раздел 10 — Помощи за широколентови инфраструктури</w:t>
      </w:r>
      <w:r w:rsidRPr="0088330A">
        <w:tab/>
      </w:r>
      <w:r>
        <w:fldChar w:fldCharType="begin"/>
      </w:r>
      <w:r>
        <w:instrText xml:space="preserve"> PAGEREF \h _Toc377391827 \* MERGEFORMAT </w:instrText>
      </w:r>
      <w:r>
        <w:fldChar w:fldCharType="separate"/>
      </w:r>
      <w:r>
        <w:rPr>
          <w:noProof/>
        </w:rPr>
        <w:t>69</w:t>
      </w:r>
      <w:r>
        <w:fldChar w:fldCharType="end"/>
      </w:r>
    </w:p>
    <w:p w:rsidR="0088330A" w:rsidRPr="000773EE" w:rsidRDefault="0088330A">
      <w:pPr>
        <w:pStyle w:val="TOC8"/>
      </w:pPr>
      <w:r w:rsidRPr="0088330A">
        <w:t>Раздел 11 — Помощ за култура и опазване на културното наследство</w:t>
      </w:r>
      <w:r w:rsidRPr="0088330A">
        <w:tab/>
      </w:r>
      <w:r>
        <w:fldChar w:fldCharType="begin"/>
      </w:r>
      <w:r>
        <w:instrText xml:space="preserve"> PAGEREF \h _Toc377391828 \* MERGEFORMAT </w:instrText>
      </w:r>
      <w:r>
        <w:fldChar w:fldCharType="separate"/>
      </w:r>
      <w:r>
        <w:rPr>
          <w:noProof/>
        </w:rPr>
        <w:t>70</w:t>
      </w:r>
      <w:r>
        <w:fldChar w:fldCharType="end"/>
      </w:r>
    </w:p>
    <w:p w:rsidR="0088330A" w:rsidRPr="000773EE" w:rsidRDefault="0088330A">
      <w:pPr>
        <w:pStyle w:val="TOC8"/>
      </w:pPr>
      <w:r w:rsidRPr="0088330A">
        <w:t>Раздел 12 — Помощи за спортни и мултифункционални инфраструктури за отдих</w:t>
      </w:r>
      <w:r w:rsidRPr="0088330A">
        <w:tab/>
      </w:r>
      <w:r>
        <w:fldChar w:fldCharType="begin"/>
      </w:r>
      <w:r>
        <w:instrText xml:space="preserve"> PAGEREF \h _Toc377391829 \* MERGEFORMAT </w:instrText>
      </w:r>
      <w:r>
        <w:fldChar w:fldCharType="separate"/>
      </w:r>
      <w:r>
        <w:rPr>
          <w:noProof/>
        </w:rPr>
        <w:t>74</w:t>
      </w:r>
      <w:r>
        <w:fldChar w:fldCharType="end"/>
      </w:r>
    </w:p>
    <w:p w:rsidR="0088330A" w:rsidRPr="000773EE" w:rsidRDefault="0088330A">
      <w:pPr>
        <w:pStyle w:val="TOC7"/>
      </w:pPr>
      <w:r w:rsidRPr="0088330A">
        <w:t>ГЛАВА IV Заключителни разпоредби</w:t>
      </w:r>
      <w:r w:rsidRPr="0088330A">
        <w:tab/>
      </w:r>
      <w:r>
        <w:fldChar w:fldCharType="begin"/>
      </w:r>
      <w:r>
        <w:instrText xml:space="preserve"> PAGEREF \h _Toc377391830 \* MERGEFORMAT </w:instrText>
      </w:r>
      <w:r>
        <w:fldChar w:fldCharType="separate"/>
      </w:r>
      <w:r>
        <w:rPr>
          <w:noProof/>
        </w:rPr>
        <w:t>75</w:t>
      </w:r>
      <w:r>
        <w:fldChar w:fldCharType="end"/>
      </w:r>
    </w:p>
    <w:p w:rsidR="00726817" w:rsidRPr="00CB333D" w:rsidRDefault="00726817" w:rsidP="00726817">
      <w:pPr>
        <w:sectPr w:rsidR="00726817" w:rsidRPr="00CB333D" w:rsidSect="0063194C">
          <w:footerReference w:type="default" r:id="rId10"/>
          <w:footerReference w:type="first" r:id="rId11"/>
          <w:pgSz w:w="11907" w:h="16839"/>
          <w:pgMar w:top="1134" w:right="1417" w:bottom="1134" w:left="1417" w:header="709" w:footer="709" w:gutter="0"/>
          <w:cols w:space="708"/>
          <w:docGrid w:linePitch="360"/>
        </w:sectPr>
      </w:pPr>
    </w:p>
    <w:p w:rsidR="001C6602" w:rsidRPr="00CB333D" w:rsidRDefault="00CB333D" w:rsidP="00CB333D">
      <w:pPr>
        <w:pStyle w:val="Typedudocument"/>
      </w:pPr>
      <w:r w:rsidRPr="00CB333D">
        <w:lastRenderedPageBreak/>
        <w:t>РЕГЛАМЕНТ (ЕС) № .../... НА КОМИСИЯТА</w:t>
      </w:r>
    </w:p>
    <w:p w:rsidR="001C6602" w:rsidRPr="00CB333D" w:rsidRDefault="0063194C" w:rsidP="0063194C">
      <w:pPr>
        <w:pStyle w:val="Datedadoption"/>
      </w:pPr>
      <w:r w:rsidRPr="0063194C">
        <w:t>от 18.12.2013 година</w:t>
      </w:r>
    </w:p>
    <w:p w:rsidR="001C6602" w:rsidRPr="00CB333D" w:rsidRDefault="00CB333D" w:rsidP="00CB333D">
      <w:pPr>
        <w:pStyle w:val="Titreobjet"/>
      </w:pPr>
      <w:bookmarkStart w:id="1" w:name="_Toc377391814"/>
      <w:r w:rsidRPr="00CB333D">
        <w:t>за обявяване на някои категории помощи за съвместими с вътрешния пазар в приложение на членове 107 и 108 от Договора</w:t>
      </w:r>
      <w:r w:rsidRPr="00CB333D">
        <w:br/>
        <w:t>ПРОЕКТ</w:t>
      </w:r>
      <w:bookmarkEnd w:id="1"/>
    </w:p>
    <w:p w:rsidR="001C6602" w:rsidRPr="00CB333D" w:rsidRDefault="00CB333D" w:rsidP="00CB333D">
      <w:pPr>
        <w:pStyle w:val="IntrtEEE"/>
      </w:pPr>
      <w:r w:rsidRPr="00CB333D">
        <w:t>(текст от значение за ЕИП)</w:t>
      </w:r>
    </w:p>
    <w:p w:rsidR="001C6602" w:rsidRPr="00CB333D" w:rsidRDefault="001C6602" w:rsidP="00042815">
      <w:pPr>
        <w:pStyle w:val="Institutionquiagit"/>
      </w:pPr>
      <w:r w:rsidRPr="00CB333D">
        <w:t>ЕВРОПЕЙСКАТА КОМИСИЯ,</w:t>
      </w:r>
    </w:p>
    <w:p w:rsidR="004672E2" w:rsidRPr="00CB333D" w:rsidRDefault="004672E2" w:rsidP="004672E2">
      <w:pPr>
        <w:spacing w:before="0" w:after="200" w:line="276" w:lineRule="auto"/>
      </w:pPr>
      <w:r w:rsidRPr="00CB333D">
        <w:t>като взе предвид Договора за функционирането на Европейския съюз, и по-специално член 108, параграф 4 от него,</w:t>
      </w:r>
    </w:p>
    <w:p w:rsidR="00337DB3" w:rsidRPr="00CB333D" w:rsidRDefault="00337DB3" w:rsidP="004672E2">
      <w:pPr>
        <w:spacing w:before="0" w:after="200" w:line="276" w:lineRule="auto"/>
      </w:pPr>
    </w:p>
    <w:p w:rsidR="00337DB3" w:rsidRPr="00CB333D" w:rsidRDefault="00337DB3" w:rsidP="004672E2">
      <w:pPr>
        <w:spacing w:before="0" w:after="200" w:line="276" w:lineRule="auto"/>
      </w:pPr>
    </w:p>
    <w:p w:rsidR="00337DB3" w:rsidRPr="00CB333D" w:rsidRDefault="00337DB3" w:rsidP="004672E2">
      <w:pPr>
        <w:spacing w:before="0" w:after="200" w:line="276" w:lineRule="auto"/>
      </w:pPr>
    </w:p>
    <w:p w:rsidR="004672E2" w:rsidRPr="00CB333D" w:rsidRDefault="004672E2" w:rsidP="004672E2">
      <w:pPr>
        <w:spacing w:before="0" w:after="200" w:line="276" w:lineRule="auto"/>
      </w:pPr>
      <w:r w:rsidRPr="00CB333D">
        <w:t>като взе предвид Регламент (ЕО) № 994/98 на Съвета от 7 май 1998 г. по прилагането на членове 92 и 93 от Договора за създаване на Европейската общност към някои категории хоризонтална държавна помощ</w:t>
      </w:r>
      <w:r w:rsidRPr="00CB333D">
        <w:rPr>
          <w:rStyle w:val="FootnoteReference"/>
        </w:rPr>
        <w:footnoteReference w:id="1"/>
      </w:r>
      <w:r w:rsidRPr="00CB333D">
        <w:t>, изменен с Регламент (ЕС) № 733/2013 на Съвета от 22 юли 2013 г., и по-специално член 1, параграф 1, букви а) и б) от него,</w:t>
      </w:r>
    </w:p>
    <w:p w:rsidR="004672E2" w:rsidRPr="00CB333D" w:rsidRDefault="00813C6D" w:rsidP="004672E2">
      <w:pPr>
        <w:spacing w:before="0" w:after="200" w:line="276" w:lineRule="auto"/>
      </w:pPr>
      <w:r w:rsidRPr="00CB333D">
        <w:t>[след като публикува проект на настоящия регламент [</w:t>
      </w:r>
      <w:r w:rsidRPr="00CB333D">
        <w:rPr>
          <w:i/>
        </w:rPr>
        <w:t>препратка</w:t>
      </w:r>
      <w:r w:rsidRPr="00CB333D">
        <w:t xml:space="preserve"> към ОВ],]</w:t>
      </w:r>
    </w:p>
    <w:p w:rsidR="001C6602" w:rsidRPr="00CB333D" w:rsidRDefault="00813C6D" w:rsidP="004672E2">
      <w:pPr>
        <w:spacing w:before="0" w:after="200" w:line="276" w:lineRule="auto"/>
      </w:pPr>
      <w:r w:rsidRPr="00CB333D">
        <w:t>[след консултации с Консултативния комитет по държавните помощи,]</w:t>
      </w:r>
    </w:p>
    <w:p w:rsidR="001C6602" w:rsidRPr="00CB333D" w:rsidRDefault="001C6602" w:rsidP="00042815">
      <w:r w:rsidRPr="00CB333D">
        <w:t>като има предвид, че:</w:t>
      </w:r>
    </w:p>
    <w:p w:rsidR="008D4886" w:rsidRPr="00CB333D" w:rsidRDefault="008D4886" w:rsidP="000773EE">
      <w:pPr>
        <w:pStyle w:val="Considrant"/>
        <w:numPr>
          <w:ilvl w:val="0"/>
          <w:numId w:val="59"/>
        </w:numPr>
      </w:pPr>
      <w:r w:rsidRPr="00CB333D">
        <w:t xml:space="preserve">Финансиране от държавата, което отговаря на критериите по член 107, параграф 1 от Договора за функционирането на Европейския съюз („Договора“), представлява държавна помощ и Европейската комисия трябва да бъде уведомена за него в съответствие с член 108, параграф 3 от Договора. Независимо от това, в съответствие с член 109 от Договора Съветът може да определи някои категории помощи, които са освободени от това задължение за уведомяване. В съответствие с член 108, параграф 4 от Договора Комисията може да приема регламенти относно тези категории държавни помощи. С Регламент (EО) № 994/98 Съветът реши в съответствие с член 109 от Договора, че следните категории могат да бъдат освободени от задължението за уведомяване: помощи за малки и средни предприятия (МСП), помощи за научноизследователска и развойна дейност, помощи за опазване на околната среда, помощи за трудова заетост и обучение и помощи, отговарящи на картата за предоставяне на регионални помощи, одобрена от Комисията за всяка държава членка. Въз основа на това Комисията прие Регламент (ЕО) № 800/2008 </w:t>
      </w:r>
      <w:r w:rsidRPr="00CB333D">
        <w:lastRenderedPageBreak/>
        <w:t>относно деклариране на някои категории помощи за съвместими с общия пазар в приложение на членове 87 и 88 от Договора (наричан по-нататък „Общ регламент за групово освобождаване“)</w:t>
      </w:r>
      <w:r w:rsidRPr="00CB333D">
        <w:rPr>
          <w:rStyle w:val="FootnoteReference"/>
        </w:rPr>
        <w:footnoteReference w:id="2"/>
      </w:r>
      <w:r w:rsidRPr="00CB333D">
        <w:t>, който се прилага до 31 декември 2013 г.</w:t>
      </w:r>
    </w:p>
    <w:p w:rsidR="00F95DB4" w:rsidRPr="00CB333D" w:rsidRDefault="00F95DB4" w:rsidP="00F95DB4">
      <w:pPr>
        <w:pStyle w:val="Considrant"/>
        <w:rPr>
          <w:rFonts w:cs="Calibri"/>
          <w:u w:val="single"/>
        </w:rPr>
      </w:pPr>
      <w:r w:rsidRPr="00CB333D">
        <w:t>Освен това на 22 юли 2013 г. Съветът прие Регламент (ЕС) № 733/2013</w:t>
      </w:r>
      <w:r w:rsidRPr="00CB333D">
        <w:rPr>
          <w:rStyle w:val="FootnoteReference"/>
        </w:rPr>
        <w:footnoteReference w:id="3"/>
      </w:r>
      <w:r w:rsidRPr="00CB333D">
        <w:t xml:space="preserve"> за изменение на Регламент (ЕО) № 994/98, с който позволи на Комисията да разшири приложното поле на груповото освобождаване до нови категории помощи. Въз основа на това в настоящия регламент следва да бъдат предвидени групови освобождавания за категориите помощи, във връзка с които опитът на Комисията ѝ позволява да определи условия за съвместимост. Сред тези нови категории групово освободени помощи са: помощите за отстраняването на щети, причинени от някои природни бедствия, социалните помощи за транспорт за живеещите в отдалечени региони, помощите за широколентови инфраструктури, помощите за иновации, помощите за култура и за опазване на културното наследство, помощи за спортни и многофункционални инфраструктури за отдих.</w:t>
      </w:r>
      <w:r w:rsidRPr="00CB333D">
        <w:rPr>
          <w:u w:val="single"/>
        </w:rPr>
        <w:t xml:space="preserve"> Ако придобие достатъчно допълнителен опит по вземането на решения, позволяващ ѝ да изготви оперативни критерии за освобождаване, осигуряващи предварителната съвместимост на други категории помощи, Комисията възнамерява да преразгледа приложното поле на настоящия регламент, за да включи някои видове помощи, свързани с тези области. По-специално, Комисията възнамерява да установи критерии за пристанищните и летищните инфраструктури до декември 2015 г.</w:t>
      </w:r>
    </w:p>
    <w:p w:rsidR="008D4886" w:rsidRPr="00CB333D" w:rsidRDefault="008D4886" w:rsidP="00E47D24">
      <w:pPr>
        <w:pStyle w:val="Considrant"/>
      </w:pPr>
      <w:r w:rsidRPr="00CB333D">
        <w:t>Със своето Съобщение относно модернизирането на държавната помощ на ЕС (МДП)</w:t>
      </w:r>
      <w:r w:rsidRPr="00CB333D">
        <w:rPr>
          <w:rStyle w:val="FootnoteReference"/>
        </w:rPr>
        <w:footnoteReference w:id="4"/>
      </w:r>
      <w:r w:rsidRPr="00CB333D">
        <w:t xml:space="preserve"> Комисията започна по-широк преглед на правилата за държавната помощ. Основните цели на това модернизиране са: i) постигането на устойчив, интелигентен и приобщаващ растеж в рамките на конкурентен вътрешен пазар, като същевременно се допринася за усилията на държавите членки за по-ефективно използване на публичните финанси; ii) съсредоточаването на предварителния контрол на Комисията на мерките за помощ върху случаите с най-голямо въздействие върху вътрешния пазар и същевременно укрепването на сътрудничеството между държавите членки в прилагането на държавните помощи; и iii) опростяването на правилата и ускоряването на вземането на по-добре информирани и по-стабилни решения въз основа на ясна икономическа обосновка, общ подход и ясни задължения. </w:t>
      </w:r>
    </w:p>
    <w:p w:rsidR="008D4886" w:rsidRPr="00CB333D" w:rsidRDefault="00D81C7D" w:rsidP="00E47D24">
      <w:pPr>
        <w:pStyle w:val="Considrant"/>
      </w:pPr>
      <w:r w:rsidRPr="00CB333D">
        <w:t>Настоящият регламент позволява да бъдат определени по-добре приоритетите на дейностите по правоприлагането, както и да бъде постигнато по-голямо опростяване. Той следва да е съчетан с по-голяма прозрачност, ефективно оценяване и контрол на спазването на правилата за държавните помощи на национално равнище и на равнище Европейски съюз, като в същото време се запазва пропорционалността и се съхраняват институционалните компетенции на Комисията и държавите членки.</w:t>
      </w:r>
    </w:p>
    <w:p w:rsidR="008D4886" w:rsidRPr="00CB333D" w:rsidRDefault="008D4886" w:rsidP="00E47D24">
      <w:pPr>
        <w:pStyle w:val="Considrant"/>
      </w:pPr>
      <w:r w:rsidRPr="00CB333D">
        <w:t xml:space="preserve">Опитът на Комисията в прилагането на Регламент (ЕО) № 800/2008 ѝ даде възможност, от една страна, да определи по-добре условията, при които някои категории помощи могат да бъдат считани за съвместими с вътрешния пазар, и да разшири приложното поле на груповото освобождаване и, от друга страна, </w:t>
      </w:r>
      <w:r w:rsidRPr="00CB333D">
        <w:lastRenderedPageBreak/>
        <w:t>недвусмислено доказа нуждата от подобряване на прозрачността и контрола, като същевременно се предвиди подходящо оценяване на особено широкомащабни схеми с оглед на техния ефект върху конкуренцията на вътрешния пазар.</w:t>
      </w:r>
    </w:p>
    <w:p w:rsidR="008D4886" w:rsidRPr="00CB333D" w:rsidRDefault="0066417E" w:rsidP="00E47D24">
      <w:pPr>
        <w:pStyle w:val="Considrant"/>
      </w:pPr>
      <w:r w:rsidRPr="00CB333D">
        <w:t xml:space="preserve">Общите условия за прилагането на настоящия регламент следва да бъдат определени въз основа на набор от общи принципи, с които се гарантира, че помощта обслужва цел от общ интерес, има ясен стимулиращ ефект, е уместна и пропорционална, отпуска се при пълна прозрачност, подлежи на контролен механизъм и на редовна оценка и не се отразява неблагоприятно на условията за търговия до степен, която противоречи на общия интерес. </w:t>
      </w:r>
    </w:p>
    <w:p w:rsidR="008D4886" w:rsidRPr="00CB333D" w:rsidRDefault="00E30E9B" w:rsidP="00E47D24">
      <w:pPr>
        <w:pStyle w:val="Considrant"/>
      </w:pPr>
      <w:r w:rsidRPr="00CB333D">
        <w:t xml:space="preserve">Всяка помощ, която отговаря на общите условия и на условията, специфични за отделните категории помощи, определени в настоящия регламент, следва да бъде освободена от задължението за уведомяване, установено в член 108, параграф 3 от Договора. </w:t>
      </w:r>
    </w:p>
    <w:p w:rsidR="008D4886" w:rsidRPr="00CB333D" w:rsidRDefault="008D4886" w:rsidP="00E47D24">
      <w:pPr>
        <w:pStyle w:val="Considrant"/>
      </w:pPr>
      <w:r w:rsidRPr="00CB333D">
        <w:t xml:space="preserve">За държавна помощ по смисъла на член 107, параграф 1 от Договора, която не попада в обхвата на настоящия регламент, следва да продължи да се прилага задължението за уведомяване по член 108, параграф 3 от Договора. Настоящият регламент не засяга възможността държавите членки да уведомяват за помощи, чиято цел съответства на целите, обхванати от настоящия регламент. </w:t>
      </w:r>
    </w:p>
    <w:p w:rsidR="00E43BE8" w:rsidRPr="00CB333D" w:rsidRDefault="00100E86" w:rsidP="00100E86">
      <w:pPr>
        <w:pStyle w:val="Considrant"/>
      </w:pPr>
      <w:r w:rsidRPr="00CB333D">
        <w:t>С оглед на по-силното потенциално въздействие на големите схеми върху търговията и конкуренцията настоящият регламент следва да не се прилага за схемите, чиито годишни разходи за държавна помощ, превишават праг, основаващ се на БВП на съответната държава членка, както и на абсолютна стойност, по-специално с цел те да бъдат подложени на последваща оценка. За такива схеми следва да се уведомява съгласно член 108, параграф 3 от Договора, за да бъде оценено тяхното съответствие с критериите за съвместимост, определени в настоящия регламент, и предварително да бъде определен планът за оценка, както и продължителността на схемата. С последващата оценка следва да се провери дали хипотезите и условията, върху които се основава съвместимостта на схемата, са се осъществили, каква е резултатността на мярката за помощ с оглед на нейните предварително определени общи и конкретни цели и показатели, както и въздействието на мярката върху конкуренцията и търговията. Удължаването или приемствеността на схеми, предмет на оценка, следва да се оценяват, като се вземат предвид резултатите от тази оценка.</w:t>
      </w:r>
    </w:p>
    <w:p w:rsidR="008D4886" w:rsidRPr="00CB333D" w:rsidRDefault="008D4886" w:rsidP="00E47D24">
      <w:pPr>
        <w:pStyle w:val="Considrant"/>
      </w:pPr>
      <w:r w:rsidRPr="00CB333D">
        <w:t>Настоящият регламент следва да не се прилага за помощи, обвързани с условието да се използват местни за сметка на вносни продукти, както и за помощи за дейности, свързани с износ. В частност той следва да не се прилага за помощи за финансиране на изграждането и функционирането на дистрибуторска мрежа в други страни. Помощите за покриване на разходи по участие в търговски панаири или за проучвания или консултантски услуги, необходими за пускането на нов или на вече съществуващ продукт на нов пазар в друга държава членка или в трета държава, обикновено не представляват помощи за дейности, свързани с износ.</w:t>
      </w:r>
    </w:p>
    <w:p w:rsidR="008D4886" w:rsidRPr="00CB333D" w:rsidRDefault="008D4886" w:rsidP="00C53684">
      <w:pPr>
        <w:pStyle w:val="Considrant"/>
      </w:pPr>
      <w:r w:rsidRPr="00CB333D">
        <w:t xml:space="preserve">Настоящият регламент следва да се прилага по принцип в повечето сектори на икономиката. Въпреки това в някои сектори приложното поле трябва да бъде ограничено с оглед на прилагащите се в тях специални правила. В сектора на рибарството и аквакултурите настоящият регламент следва да се прилага само за </w:t>
      </w:r>
      <w:r w:rsidRPr="00CB333D">
        <w:lastRenderedPageBreak/>
        <w:t>помощите за обучение, помощите за достъп на МСП до финансиране, помощите за научноизследователска и развойна дейност, помощите за иновации за МСП и помощите за работещи в неравностойно положение и за работещи с увреждания. По отношение на дейностите в първичното производство на селскостопански продукти настоящият регламент следва да се прилага само за оперативните регионални помощи (компенсация за допълнителни разходи, които не са свързани с транспорт в най-отдалечените региони), помощи за рисково финансиране, помощи за научноизследователска и развойна дейност, помощи за иновации за МСП, помощи за опазване на околната среда, помощи за обучение и помощи за работещи в неравностойно положение и работещи с увреждания до степента, до която тези категории помощи не са обхванати от Регламент […] на Комисията … [</w:t>
      </w:r>
      <w:r w:rsidRPr="00CB333D">
        <w:rPr>
          <w:i/>
        </w:rPr>
        <w:t>за замяна на Регламент (ЕО) № 1857/2006 на Комисията от 15 декември 2006 г. за прилагане на член 87 и член 88 от Договора към държавната помощ за малки и средни предприятия, осъществяващи дейност в производството на селскостопански продукти</w:t>
      </w:r>
      <w:r w:rsidRPr="00CB333D">
        <w:t>].</w:t>
      </w:r>
    </w:p>
    <w:p w:rsidR="008D4886" w:rsidRPr="00CB333D" w:rsidRDefault="00806489" w:rsidP="001E6B1F">
      <w:pPr>
        <w:pStyle w:val="Considrant"/>
      </w:pPr>
      <w:r w:rsidRPr="00CB333D">
        <w:t>Настоящият регламент следва да се прилага към преработката и продажбата на селскостопански продукти, стига да са спазени някои условия. За целите на настоящия регламент за преработка и продажба не следва да се считат дейностите, осъществявани на място в земеделското стопанство по приготвяне на продукта за неговата първа продажба, и първата продажба от първичния производител на прекупвачи или преработватели, нито пък дейностите, свързани с подготовката на продукта за първата продажба. Съдът на Европейския съюз установи</w:t>
      </w:r>
      <w:r w:rsidRPr="00CB333D">
        <w:rPr>
          <w:rStyle w:val="FootnoteReference"/>
        </w:rPr>
        <w:footnoteReference w:id="5"/>
      </w:r>
      <w:r w:rsidRPr="00CB333D">
        <w:t xml:space="preserve"> в своята практика, че след като веднъж Съюзът е приел законодателство за създаване на обща организация на пазара в даден селскостопански сектор, държавите членки са длъжни да се въздържат от всякакви мерки, които биха могли да я нарушат или да създадат изключение от нея. Следователно настоящият регламент следва да не се прилага за помощи, чийто размер е определен въз основа на цената или количеството на продуктите, закупени или пуснати на пазара, и за помощи, които са свързани със задължението част от тях да бъде предоставена на първичните производители.</w:t>
      </w:r>
    </w:p>
    <w:p w:rsidR="008D4886" w:rsidRPr="00CB333D" w:rsidRDefault="004D248C" w:rsidP="00D50EC2">
      <w:pPr>
        <w:pStyle w:val="Considrant"/>
      </w:pPr>
      <w:r w:rsidRPr="00CB333D">
        <w:t>Като се вземе предвид Решение на Съвета от 10 декември 2010 г. относно държавната помощ за улесняване на закриването на неконкурентоспособни въглищни мини</w:t>
      </w:r>
      <w:r w:rsidRPr="00CB333D">
        <w:rPr>
          <w:rStyle w:val="FootnoteReference"/>
        </w:rPr>
        <w:footnoteReference w:id="6"/>
      </w:r>
      <w:r w:rsidRPr="00CB333D">
        <w:t xml:space="preserve">, настоящият регламент следва да не се прилага за помощи, които имат за цел да улеснят закриването на неконкурентоспособни въглищни мини в съответствие с това решение. Като се вземе под внимание горепосоченото решение на Съвета, настоящият регламент следва да се прилага към сектора на въгледобива за други видове помощ, по-специално помощ за научни изследвания, развойна дейност и иновации, помощи за опазване на околната среда и помощ за обучение с изключение на регионалната помощ. </w:t>
      </w:r>
    </w:p>
    <w:p w:rsidR="008D4886" w:rsidRPr="00CB333D" w:rsidRDefault="008D4886" w:rsidP="003D04E7">
      <w:pPr>
        <w:pStyle w:val="Considrant"/>
      </w:pPr>
      <w:r w:rsidRPr="00CB333D">
        <w:t xml:space="preserve">Комисията трябва да гарантира, че разрешената помощ не се отразява неблагоприятно на условията за търговия до степен, която противоречи на общия интерес. Следователно помощта в полза на бенефициер, срещу когото е издадено разпореждане за възстановяване вследствие на предходно решение на Комисията, с което помощта се обявява за неправомерна и несъвместима с вътрешния пазар, следва да бъде изключена от приложното поле на настоящия регламент с изключение на схемите за помощ за отстраняване на щети, причинени от някои природни бедствия. </w:t>
      </w:r>
    </w:p>
    <w:p w:rsidR="008D4886" w:rsidRPr="00CB333D" w:rsidRDefault="008D4886" w:rsidP="001E6B1F">
      <w:pPr>
        <w:pStyle w:val="Considrant"/>
      </w:pPr>
      <w:r w:rsidRPr="00CB333D">
        <w:t>Помощи, предоставени на предприятия в затруднено положение, следва да бъдат изключени от приложното поле на настоящия регламент, тъй като тези помощи следва да бъдат оценявани съгласно насоките на Общността за държавните помощи за оздравяване и преструктуриране на предприятия в затруднено положение</w:t>
      </w:r>
      <w:r w:rsidRPr="00CB333D">
        <w:rPr>
          <w:rStyle w:val="FootnoteReference"/>
        </w:rPr>
        <w:footnoteReference w:id="7"/>
      </w:r>
      <w:r w:rsidRPr="00CB333D">
        <w:t>, за да се предотврати заобикалянето на тези насоки, с изключение на схемите за помощ за отстраняване на щети, причинени от някои природни бедствия. За да се осигури правна сигурност, е целесъобразно да бъдат определени ясни критерии, за които не е необходима оценка на всички особености на положението на дадено предприятие, за да се установи дали то може да се счита за предприятие в затруднено положение за целите на настоящия регламент.</w:t>
      </w:r>
    </w:p>
    <w:p w:rsidR="008D4886" w:rsidRPr="00CB333D" w:rsidRDefault="008D4886" w:rsidP="001E6B1F">
      <w:pPr>
        <w:pStyle w:val="Considrant"/>
      </w:pPr>
      <w:r w:rsidRPr="00CB333D">
        <w:t xml:space="preserve">Прилагането на разпоредбите за държавните помощи зависи до голяма степен от сътрудничеството на държавите членки. Затова държавите членки следва да предприемат всички необходими мерки, за да гарантират спазването на настоящия регламент, включително съответствието на индивидуалните помощи, опуснати по групово освободени схеми. </w:t>
      </w:r>
    </w:p>
    <w:p w:rsidR="008D4886" w:rsidRPr="00CB333D" w:rsidRDefault="008D4886" w:rsidP="001E6B1F">
      <w:pPr>
        <w:pStyle w:val="Considrant"/>
      </w:pPr>
      <w:r w:rsidRPr="00CB333D">
        <w:t xml:space="preserve">Поради по-големия риск от неблагоприятно отражение върху условията за търговия помощите с голям размер, предоставени поотделно или кумулативно, подлежат на задължението за уведомяване и на оценка от страна на Комисията. Поради това за всяка категория помощи от приложното поле на настоящия регламент праговете следва да бъдат определени на равнища, при които се взема предвид категорията на съответната помощ и вероятното ѝ отражение върху условията за търговия. За помощите, предоставени над тези прагове, продължава да се прилага задължението за уведомяване по член 108, параграф 3 от Договора. </w:t>
      </w:r>
    </w:p>
    <w:p w:rsidR="00920A65" w:rsidRPr="00CB333D" w:rsidRDefault="00920A65" w:rsidP="001E6B1F">
      <w:pPr>
        <w:pStyle w:val="Considrant"/>
      </w:pPr>
      <w:r w:rsidRPr="00CB333D">
        <w:t>За осигуряване на прозрачност, равно третиране и ефективен мониторинг настоящият регламент следва да се прилага само за помощи, за които е възможно предварително да се изчисли с точност брутният еквивалент на безвъзмездна помощ, без да се налага извършването на оценка на риска („прозрачни помощи“). За някои специфични инструменти за помощи като заеми, гаранции, данъчни мерки, мерки за рисково финансиране и особено възстановяеми аванси, в настоящия регламент следва да се определят условията, при които те могат да се разглеждат като прозрачни. Например, вливането на капитал не се счита за прозрачна помощ, без да се засягат някои специфични условия относно рисковото финансиране. Помощите под формата на гаранции следва да се считат за прозрачни, ако брутният еквивалент на безвъзмездна помощ е изчислен въз основа на годишните минимални премии, определени за съответния вид предприятие. Например за малките и средните предприятия (наричани по-нататък МСП) в Известието на Комисията за прилагане на членове 87 и 88 от Договора за ЕО по отношение на държавна помощ под формата на гаранции</w:t>
      </w:r>
      <w:r w:rsidRPr="00CB333D">
        <w:rPr>
          <w:rStyle w:val="FootnoteReference"/>
        </w:rPr>
        <w:footnoteReference w:id="8"/>
      </w:r>
      <w:r w:rsidRPr="00CB333D">
        <w:t xml:space="preserve"> са посочени равнища на годишни премии, над които държавните гаранции не се разглеждат като помощи.</w:t>
      </w:r>
    </w:p>
    <w:p w:rsidR="00813C6D" w:rsidRPr="00CB333D" w:rsidRDefault="00266C03" w:rsidP="005B4D2E">
      <w:pPr>
        <w:pStyle w:val="Considrant"/>
      </w:pPr>
      <w:r w:rsidRPr="00CB333D">
        <w:t xml:space="preserve">За да се гарантира, че помощта е необходима и представлява стимул за по-нататъшното развитие на дейности и проекти, настоящият регламент не следва да се прилага за помощи за дейности, които бенефициерът би предприел без помощ. Помощите следва да се освобождават от задължението за уведомяване по смисъла на настоящия регламент само в случаите, когато работата по подпомагания проект или дейност е започнала, след като получателят е подал писмено заявление за помощ. </w:t>
      </w:r>
    </w:p>
    <w:p w:rsidR="00FE5E05" w:rsidRPr="00CB333D" w:rsidRDefault="00FE5E05" w:rsidP="005B4D2E">
      <w:pPr>
        <w:pStyle w:val="Considrant"/>
      </w:pPr>
      <w:r w:rsidRPr="00CB333D">
        <w:t xml:space="preserve">Що се отнася до помощите </w:t>
      </w:r>
      <w:r w:rsidRPr="00CB333D">
        <w:rPr>
          <w:i/>
        </w:rPr>
        <w:t>ad hoc</w:t>
      </w:r>
      <w:r w:rsidRPr="00CB333D">
        <w:t>, обхванати от настоящия регламент, отпускани на бенефициер, представляващ голямо предприятие, държавата членка следва да прилага не само условията за МСП, но и да гарантира, че бенефициерът в свой вътрешен документ е анализирал жизнеспособността на подпомагания проект или дейност с помощта и без нея. Държавата членка следва да провери дали този вътрешен документ потвърждава наличието на съществено увеличаване на размера или обхвата на проекта/дейността, съществено увеличаване на общата сума, изразходвана от получателя за субсидирания проект или дейност, или съществено увеличаване на скоростта на изпълнение на съответния проект/дейност. Що се отнася до регионалните помощи, наличието на стимулиращ ефект следва да бъде установено и въз основа на факта, че инвестиционният проект не би бил осъществен в съответния подпомаган регион без помощта.</w:t>
      </w:r>
    </w:p>
    <w:p w:rsidR="00E968EB" w:rsidRPr="00CB333D" w:rsidRDefault="00B31E54" w:rsidP="00E968EB">
      <w:pPr>
        <w:pStyle w:val="Considrant"/>
      </w:pPr>
      <w:r w:rsidRPr="00CB333D">
        <w:t xml:space="preserve">Автоматичните схеми за помощ под формата на данъчни предимства следва и в бъдеще да подлежат на специфично условие за стимулиращия ефект с оглед на факта, че помощта, произтичаща от тези схеми, се отпуска по процедури, различни от процедурите за други категории помощи. Това специално условие означава, че горепосочените схеми следва да са били приети преди започване на работата по подпомагания проект или дейност. Това условие обаче не следва да се прилага в случай на последващи фискални схеми, при условие че дейността вече е била включена в предходните фискални схеми под формата на данъчни предимства. За оценката на стимулиращия ефект на тези схеми от решаващо значение е моментът, в който данъчната мярка е била посочена за първи път в оригиналната схема, която впоследствие е заменена с последващата схема. </w:t>
      </w:r>
    </w:p>
    <w:p w:rsidR="00920A65" w:rsidRPr="00CB333D" w:rsidRDefault="00920A65" w:rsidP="001E6B1F">
      <w:pPr>
        <w:pStyle w:val="Considrant"/>
      </w:pPr>
      <w:r w:rsidRPr="00CB333D">
        <w:t xml:space="preserve">Що се отнася до регионалната оперативна помощ, регионалната помощ за градско развитие, помощта за достъп на МСП до финансиране, помощта за наемане на работещи в неравностойно положение, помощта за трудова заетост на работещите с увреждания, помощта за компенсиране на допълнителните разходи, свързани с наемането на работещи с увреждания, помощта под формата на намаления на данъците за околната среда, помощите за отстраняването на щети, причинени от някои природни бедствия, социалната помощ за транспорт за живеещите в отдалечени региони и помощта за култура и опазване на културното наследство, наличието на стимулиращ ефект не се прилага или то се предполага, ако са изпълнени специфичните условия, предвидени за тези категории помощи в настоящия регламент. </w:t>
      </w:r>
    </w:p>
    <w:p w:rsidR="00920A65" w:rsidRPr="00CB333D" w:rsidRDefault="00920A65" w:rsidP="001E6B1F">
      <w:pPr>
        <w:pStyle w:val="Considrant"/>
      </w:pPr>
      <w:r w:rsidRPr="00CB333D">
        <w:t xml:space="preserve">За да се гарантира, че помощта е пропорционална и ограничена до необходимия размер, при възможност, максималните размери на помощта следва да бъдат изразени като интензитети на помощта по отношение на съвкупност от допустими разходи. В случаите, в които максималният интензитет на помощта не може да се определи, защото не могат да бъдат установени допустимите разходи или с цел предоставяне на по-прости инструменти за по-малки суми, за да се осигури пропорционалността на мерките за помощ, следва да се определят номинални максимални интензитети на помощта. Интензитетът на помощ и праговете за размера на помощта следва да бъдат определени с оглед на опита на Комисията на равнища, при които се постига възможно най-малко нарушаване на конкуренцията в подпомагания сектор и в същото време се разрешават съответните проблеми, свързани с пазарната неефективност и сближаването. По отношение на регионалната инвестиционна помощ интензитетът на помощ следва да съответства на интензитета на помощ, допустим съгласно пътните карти за регионална помощ. </w:t>
      </w:r>
    </w:p>
    <w:p w:rsidR="00920A65" w:rsidRPr="00CB333D" w:rsidRDefault="00920A65" w:rsidP="001E6B1F">
      <w:pPr>
        <w:pStyle w:val="Considrant"/>
      </w:pPr>
      <w:r w:rsidRPr="00CB333D">
        <w:t>За изчисляването на интензитета на помощта всички използвани данни следва да се приемат преди приспадането на данъци и други такси. Помощта, платима на няколко вноски, се сконтира до нейната стойност към момента на предоставянето ѝ. Допустимите разходи следва също така да бъдат сконтирани до тяхната стойност към момента на предоставянето на помощта. Лихвеният процент, който се използва за сконтиране и за изчисляване на размера на помощта за помощи, които не са под формата на безвъзмездна помощ, следва да е сконтовият процент, приложим към датата на предоставяне на помощта, както е посочено в Съобщението на Комисията относно преразглеждането на метода за определяне на референтните и сконтовите лихвени проценти</w:t>
      </w:r>
      <w:r w:rsidRPr="00CB333D">
        <w:rPr>
          <w:rStyle w:val="FootnoteReference"/>
        </w:rPr>
        <w:footnoteReference w:id="9"/>
      </w:r>
      <w:r w:rsidRPr="00CB333D">
        <w:t xml:space="preserve">. Определянето на допустимите разходи следва да бъде подкрепено с ясни, конкретни и актуализирани документни доказателства. Когато помощта е предоставена чрез данъчни предимства, сконтирането на отделните траншове помощ следва да се извърши въз основа на сконтовите проценти, приложими към датите, на които данъчните предимства влизат в сила. Следва да бъде насърчавано използването на помощи под формата на възстановяеми аванси, тъй като тези инструменти за споделяне на риска благоприятстват засилването на стимулиращия ефект на помощта. Следователно е целесъобразно да се въведе правилото, че когато помощта е предоставена под формата на възстановяеми аванси, приложимите интензитети на помощта, посочени в настоящия регламент, могат да бъдат увеличени, с изключение на регионалната помощ (тъй като тя може да бъде освободена само ако съответства на одобрените карти). </w:t>
      </w:r>
    </w:p>
    <w:p w:rsidR="00920A65" w:rsidRPr="00CB333D" w:rsidRDefault="00920A65" w:rsidP="001E6B1F">
      <w:pPr>
        <w:pStyle w:val="Considrant"/>
      </w:pPr>
      <w:r w:rsidRPr="00CB333D">
        <w:t xml:space="preserve">В случай на данъчни предимства върху бъдещи данъци приложимият референтен процент и точният размер на траншовете помощ могат да не са предварително известни. В такъв случай държавите членки следва предварително да определят лимит на сконтираната стойност на помощта в съответствие с приложимия интензитет на помощта. Впоследствие, когато размерът на транша от помощта стане известен на определена дата, сконтирането може да се извърши въз основа на сконтовия процент, приложим към тази дата. Сконтираната стойност на всеки транш от помощта следва да се приспадне от общия размер на лимита („лимитиран размер“) . </w:t>
      </w:r>
    </w:p>
    <w:p w:rsidR="00FF26B8" w:rsidRPr="00CB333D" w:rsidRDefault="0064261C" w:rsidP="00860578">
      <w:pPr>
        <w:pStyle w:val="Considrant"/>
      </w:pPr>
      <w:r w:rsidRPr="00CB333D">
        <w:t xml:space="preserve">За да се установи дали са спазени индивидуалните прагове за уведомяване и максималните интензитети на помощ, определени в настоящия регламент, следва да се вземе предвид общата сума на мерките за държавна помощ за подпомаганата дейност или проект. В настоящия регламент следва също да бъдат посочени обстоятелствата, при които могат да се натрупват различни категории помощи. Помощ, освободена от задължението за уведомяване в съответствие с настоящия регламент, и всяка друга съвместима помощ, освободена в съответствие с настоящия регламент или одобрена от Комисията, може да се натрупва с всяка друга помощ, доколкото тези мерки се отнасят до различни установими допустими разходи. Когато различни източници на помощ са свързани със същите напълно или частично съвпадащи установими допустими разходи, натрупването е позволено до най-високия интензитет или размер на помощта, приложими за тази помощ съгласно настоящия регламент. Настоящият регламент следва да съдържа също така специални правила за натрупване на мерки за помощ с установими допустими разходи и без тях, за натрупване с помощ de minimis и с помощ в полза на работещи с увреждания. </w:t>
      </w:r>
    </w:p>
    <w:p w:rsidR="00F46E26" w:rsidRPr="00CB333D" w:rsidRDefault="00F46E26" w:rsidP="00F46E26">
      <w:pPr>
        <w:pStyle w:val="Considrant"/>
      </w:pPr>
      <w:r w:rsidRPr="00CB333D">
        <w:t>Финансиране от Съюза, управлявано централно от институциите, агенциите, съвместни предприятия или други органи на Съюза, което не е пряко или косвено под контрола на държавите членки, не представлява държавна помощ. Когато такова финансиране от Съюза е съчетано с държавна помощ, само последната следва да бъде взета предвид за определяне на това дали са спазени праговете за уведомяване и максималните интензитети на помощ, при условие че общият размер на публичното финансиране, предоставено във връзка с едни и същи допустими разходи, не превишава най-благоприятния процент на финансиране, установен с приложимите правила на законодателството на Съюза.</w:t>
      </w:r>
    </w:p>
    <w:p w:rsidR="00920A65" w:rsidRPr="00CB333D" w:rsidRDefault="002B2DE2" w:rsidP="003D04E7">
      <w:pPr>
        <w:pStyle w:val="Considrant"/>
      </w:pPr>
      <w:r w:rsidRPr="00CB333D">
        <w:t xml:space="preserve">С оглед на принципната забрана за държавна помощ по смисъла на член 107, параграф 1 от Договора е от голямо значение всички страни да имат възможност да проверят дали дадена помощ е предоставена в съответствие с приложимите правила. Следователно прозрачността на държавната помощ е от изключително голямо значение за правилното прилагане на правилата в Договора и тя води до по-добро спазване, по-голяма отчетност, партньорски проверки и в крайна сметка до по-ефективни публични разходи. За да се гарантира прозрачност, в настоящия регламент следва да се съдържа изискване за създаване на единни уебсайтове за държавна помощ на регионално или национално равнище. На тези уебсайтове държавите членки следва да публикуват обобщена информация за всяка мярка за помощ, освободена от задължението за уведомяване по силата на настоящия регламент, в стандартизиран формат, пълния текст на всяка мярка за помощ и информация относно предоставянето на индивидуални помощи. Това задължение следва да бъде условие за съвместимостта на индивидуалната помощ с вътрешния пазар. Връзките към уебсайтовете за държавната помощ на всички държави членки следва да бъдат публикувани на уебсайта на Комисията. В съответствие с член 3 от Регламент (ЕО) № 994/98 обобщената информация за всяка мярка за помощ, освободена от задължението за уведомяване съгласно настоящия регламент, следва да се публикува на уебсайта на Комисията. </w:t>
      </w:r>
    </w:p>
    <w:p w:rsidR="00920A65" w:rsidRPr="00CB333D" w:rsidRDefault="003D435E" w:rsidP="001E6B1F">
      <w:pPr>
        <w:pStyle w:val="Considrant"/>
      </w:pPr>
      <w:r w:rsidRPr="00CB333D">
        <w:t>За да се гарантира ефективният контрол на мерките за помощ в съответствие с Регламент (ЕО) № 994/98, е целесъобразно да бъдат определени изисквания по отношение на докладването на държавите членки относно мерките за помощ, освободени по силата на настоящия регламент, и относно прилагането на настоящия регламент. Целесъобразно е също така да се определят правила относно документирането от държавите членки на помощите, освободени от задължението за уведомяване съгласно настоящия регламент, с оглед на давностния срок, определен в член 15 от Регламент (ЕО) № 659/1999</w:t>
      </w:r>
      <w:r w:rsidRPr="00CB333D">
        <w:rPr>
          <w:rStyle w:val="FootnoteReference"/>
        </w:rPr>
        <w:footnoteReference w:id="10"/>
      </w:r>
      <w:r w:rsidRPr="00CB333D">
        <w:t>.</w:t>
      </w:r>
    </w:p>
    <w:p w:rsidR="00920A65" w:rsidRPr="00CB333D" w:rsidRDefault="0008458E" w:rsidP="00C5719D">
      <w:pPr>
        <w:pStyle w:val="Considrant"/>
      </w:pPr>
      <w:r w:rsidRPr="00CB333D">
        <w:t>За да се подобри ефективността на условията за съвместимост, определени в настоящия регламент, Комисията следва да има възможност да отмени груповото освобождаване за бъдещи мерки за помощ в случай на неспазване на тези изисквания. Комисията трябва да може да ограничи отмяната на груповото освобождаване до определени видове помощ, някои бенефициери или мерки за помощ, приети от някои органи, когато несъответствието с настоящия регламент засяга само ограничена група от мерки или някои органи. Тази целенасочена отмяна следва да предостави съразмерна корективна мярка, пряко свързана с установените с настоящия регламент несъответствия. В случай че не са спазени условията за съвместимост, посочени в глави I и III, предоставената помощ не е обхваната от настоящия регламент и следователно представлява неправомерна помощ, която подлежи на проверка от страна на Комисията по съответната процедура, определена в Регламент № (ЕО) 659/1999.</w:t>
      </w:r>
      <w:r w:rsidRPr="00CB333D">
        <w:rPr>
          <w:rFonts w:ascii="Tahoma" w:hAnsi="Tahoma"/>
          <w:sz w:val="20"/>
        </w:rPr>
        <w:t xml:space="preserve"> </w:t>
      </w:r>
      <w:r w:rsidRPr="00CB333D">
        <w:t xml:space="preserve">При неспазване на изискванията от глава II отмяната на груповото освобождаване по отношение на бъдещите мерки за помощ не засяга факта, и че мерките, съвместими в миналото с настоящия регламент, са били групово освободени. </w:t>
      </w:r>
    </w:p>
    <w:p w:rsidR="00A96516" w:rsidRPr="00CB333D" w:rsidRDefault="0008458E" w:rsidP="001E6B1F">
      <w:pPr>
        <w:pStyle w:val="Considrant"/>
        <w:rPr>
          <w:i/>
        </w:rPr>
      </w:pPr>
      <w:r w:rsidRPr="00CB333D">
        <w:t>С цел премахване на различията, които могат да доведат до нарушаване на конкуренцията, и за улесняване на координацията между различните инициативи на Съюза и национални инициативи за МСП, както и за постигането на по-голяма административна яснота и правна сигурност, определението за МСП, използвано за целите на настоящия регламент, следва да се основава на определението от Препоръка 2003/361/ЕО на Комисията от 6 май 2003 г. относно определението за микро, малки и средни предприятия</w:t>
      </w:r>
      <w:r w:rsidRPr="00CB333D">
        <w:rPr>
          <w:rStyle w:val="FootnoteReference"/>
        </w:rPr>
        <w:footnoteReference w:id="11"/>
      </w:r>
      <w:r w:rsidRPr="00CB333D">
        <w:t>.</w:t>
      </w:r>
    </w:p>
    <w:p w:rsidR="00D63D1C" w:rsidRPr="00CB333D" w:rsidRDefault="00920A65" w:rsidP="00D63D1C">
      <w:pPr>
        <w:pStyle w:val="Considrant"/>
      </w:pPr>
      <w:r w:rsidRPr="00CB333D">
        <w:t>Като визира проблемите на необлагодетелстваните региони, регионалната помощ насърчава икономическото, социалното и териториалното сближаване на държавите членки и Съюза като цяло. Регионалната помощ има за цел да подкрепя развитието на най-необлагодетелстваните региони чрез подпомагане на инвестициите и създаване на работни места по устойчив начин. В области, които отговарят на условията по член 107, параграф 3, буква а) от Договора, регионална помощ може да бъде отпусната с цел насърчаване на създаването на нови стопански обекти, разширяване на съществуващи стопански обекти, диверсификация на продукцията на стопански обект или основна промяна на цялостния производствен процес в съществуващ стопански обект. Като се има предвид, че в сравнение с МСП големите предприятия са засегнати в по-малка степен от регионални проблеми, когато инвестират в области, които отговарят на условията по член 107, параграф 3, буква в) от Договора, регионалната помощ за големи предприятия следва да бъде освободена от изискването за уведомяване само за първоначални инвестиции в полза на нова икономическа дейност в тези области.</w:t>
      </w:r>
    </w:p>
    <w:p w:rsidR="00E107F1" w:rsidRPr="00CB333D" w:rsidRDefault="005730C2" w:rsidP="00D63D1C">
      <w:pPr>
        <w:pStyle w:val="Considrant"/>
      </w:pPr>
      <w:r w:rsidRPr="00CB333D">
        <w:t>Когато дадена схема за регионална помощ е насочена към определени сектори на икономиката, целта и вероятните въздействия от схемата могат да бъдат по-скоро секторни отколкото хоризонтални. Следователно секторните схеми не могат да бъдат изключени от изискването за уведомяване. Въпреки това Комисията, след като бъде уведомена за тях, може да оцени техните възможни положителни въздействия съгласно приложимите насоки или рамки. По-специално, такъв е случаят за регионалните схеми за помощ, които включват икономически дейности в секторите въгледобив, корабостроене, транспорт. Освен това поради специфичните особености на стоманодобива и производството на синтетични влакна се смята, че отрицателните ефекти от регионалната помощ в тези сектори не могат да бъдат компенсирани с положителните ефекти на сближаването. По тези причини в тези сектори не може да се отпуска регионална помощ. Накрая, туризмът и широколентовите инфраструктури играят важна роля в националната икономика и като цяло оказват особено положително въздействие върху регионалното развитие. Поради това схемите за регионална помощ, преднанзначени за туристическите дейности и широколентовите инфраструктури, следва да бъдат освободени от задължението за уведомяване. Преработката и продажбата на селскостопански продукти са също тясно свързани с местните и регионалните икономики и следва да се възползват от груповото освобождаване.</w:t>
      </w:r>
    </w:p>
    <w:p w:rsidR="00BE47C0" w:rsidRPr="00CB333D" w:rsidRDefault="00E107F1" w:rsidP="00BE47C0">
      <w:pPr>
        <w:pStyle w:val="Considrant"/>
      </w:pPr>
      <w:r w:rsidRPr="00CB333D">
        <w:t xml:space="preserve">Инвестициите в подпомагани региони в полза на енергията от възобновяеми източници, комбинираното производство на енергия и енергийноефективното централно отопление и охлаждане са разрешени при условията, определени в раздела от настоящия регламент, посветен на околната среда; това ще сведе до минимум свързаното с тях нарушаване на конкуренцията на вътрешния пазар на енергия и следва да гарантира, че ударението се поставя повече върху икономическата ефективност. С оглед на техния голям потенциал за нарушаване на конкуренцията на вътрешния пазар на енергия, държавните помощи за производство на енергия от невъзобновяеми източници и за енергийни инфраструктури следва да не бъдат освободени от изискването за уведомяване по член 108, параграф 3 от Договора. </w:t>
      </w:r>
    </w:p>
    <w:p w:rsidR="00920A65" w:rsidRPr="00CB333D" w:rsidRDefault="006A0628" w:rsidP="001E6B1F">
      <w:pPr>
        <w:pStyle w:val="Considrant"/>
      </w:pPr>
      <w:r w:rsidRPr="00CB333D">
        <w:t>За да не бъде облагодетелстван факторът капитал повече от фактора труд в дадена инвестиция, следва да е възможно регионалната инвестиционна помощ да се измерва на основата на разходите за инвестицията или разходите за заетост, създадена пряко от инвестиционния проект.</w:t>
      </w:r>
    </w:p>
    <w:p w:rsidR="003A7465" w:rsidRPr="00CB333D" w:rsidRDefault="00920A65" w:rsidP="00171F7E">
      <w:pPr>
        <w:pStyle w:val="Considrant"/>
      </w:pPr>
      <w:r w:rsidRPr="00CB333D">
        <w:t>Регионалните инвестиционни помощи не следва да се освобождават от уведомление, когато е отпусната на бенефициер, който е закрил същата или подобна дейност в ЕИП през двете години, предхождащи заявлението му за регионална инвестиционна помощ, или който към момента на заявлението за помощ има конкретни планове да закрие такава дейност до две години след завършването на инвестицията в съответния регион.</w:t>
      </w:r>
    </w:p>
    <w:p w:rsidR="00AF5303" w:rsidRPr="00CB333D" w:rsidRDefault="00920A65" w:rsidP="009D42BF">
      <w:pPr>
        <w:pStyle w:val="Considrant"/>
      </w:pPr>
      <w:r w:rsidRPr="00CB333D">
        <w:t xml:space="preserve">Комисията е натрупала достатъчен опит в прилагането на член 107, параграф 3, буква а) и буква в) от Договора по отношение на регионалната оперативна помощ за компенсиране на допълнителни транспортни разходи за стоки, произведени в най-отдалечените региони или в слабо населените региони, и допълнителните производствени и експлоатационни разходи (различни от допълнителните транспортни разходи), направени от бенефициерите на помощта, установени в най-отдалечените региони. С цел свеждане до минимум на въздействието върху околната среда и на изхвърляните емисии помощта за компенсиране на допълнителните транспортни разходи следва да се изчисли въз основа на транспортното средство, което води до най-ниски външни разходи за околната среда, по-специално по отношение на потреблението на енергия. Регионални оперативни помощи за компенсиране на допълнителни разходи в най-отдалечените региони, различни от допълнителните транспортни разходи, могат единствено да са съвместими с вътрешния пазар и могат да бъдат освободени от задължението за уведомяване в съответствие с член 108, параграф 3 от Договора, доколкото тяхното равнище е ограничено до определена част от брутната добавена стойност, създадена от бенефициера в съответния най-отдалечен регион, или от годишните разходи за труд, направени от него в съответния най-отдалечен регион. </w:t>
      </w:r>
    </w:p>
    <w:p w:rsidR="00436AFE" w:rsidRPr="00CB333D" w:rsidRDefault="00436AFE" w:rsidP="00436AFE">
      <w:pPr>
        <w:pStyle w:val="Considrant"/>
      </w:pPr>
      <w:r w:rsidRPr="00CB333D">
        <w:t xml:space="preserve">Чрез преодоляването на високата концентрация на икономически, екологични и социални проблеми на градските райони, разположени в подпомагани региони, обозначени на карта на регионалните помощи, помощите за градско развитие допринасят за икономическото, социалното и териториалното сближаване на държавите членки и на Европейския съюз като цяло. Пазарните неефективности, за които са предназначени помощите за градско развитие, се отнасят до условията за финансиране на градското развитие, липсата на интегриран подход за градско развитие, дефицита на финансиране, налагащ мобилизирането на оскъдни публични ресурси и необходимостта от възприемане на по-търговски подход за съживяването на градските райони. Следователно помощите за градско развитие в подкрепа на разработването на активни, интегрирани и устойчиви стратегии за участие в отстраняването на допълнителните проблеми, установени в подпомаганите региони, следва да бъдат групово освободени. </w:t>
      </w:r>
    </w:p>
    <w:p w:rsidR="00436AFE" w:rsidRPr="00CB333D" w:rsidRDefault="00F53E64" w:rsidP="00F53E64">
      <w:pPr>
        <w:pStyle w:val="Considrant"/>
      </w:pPr>
      <w:r w:rsidRPr="00CB333D">
        <w:t xml:space="preserve">Инвестициите, съответстващи на приоритетите на стратегията „Европа 2020“ за екологични технологии, научноизследователска и развойна дейност и иновации и преминаване към икономика с ниски въглеродни емисии, направени в подпомагани региони, включени в карта на регионалните помощи, могат да получат помощ в по-голям размер под формата на регионални бонуси. </w:t>
      </w:r>
    </w:p>
    <w:p w:rsidR="00920A65" w:rsidRPr="00CB333D" w:rsidRDefault="00920A65" w:rsidP="003D04E7">
      <w:pPr>
        <w:pStyle w:val="Considrant"/>
      </w:pPr>
      <w:r w:rsidRPr="00CB333D">
        <w:t>МСП играят важна роля за създаването на работни места и, по-общо, представляват фактор за социална стабилност и икономическо развитие. Въпреки това тяхното развитие може да бъде възпрепятствано от пазарни неефективности, което ги изправя пред следните типични затруднения. МСП често се сблъскват с трудности за получаване на рисков капитал или заеми поради нежеланието на някои финансови пазари да поемат рискове и предполагаемия малък размер на гаранциите, които тези предприятия могат да предложат. Техните ограничени ресурси могат също така да попречат на достъпа им до информация, по-специално по отношение на новите технологии и потенциалните пазари. Следователно, с цел да се улесни развитието на стопанските дейности на МСП, някои категории помощи следва да са освободени от задължението за уведомяване по силата на настоящия регламент, когато се предоставят на МСП. Тези категории трябва да включват, по-специално, помощи за инвестиции в полза на МСП и помощи за участието на МСП в панаири.</w:t>
      </w:r>
    </w:p>
    <w:p w:rsidR="00F53E64" w:rsidRPr="00CB333D" w:rsidRDefault="00D77DD6" w:rsidP="00675787">
      <w:pPr>
        <w:pStyle w:val="Considrant"/>
      </w:pPr>
      <w:r w:rsidRPr="00CB333D">
        <w:t xml:space="preserve">МСП, участващи в проекти по цел „Европейско териториално сътрудничество“, обхванати от Регламент [COM(2011)611 ЕФРР/ЕТС] на Комисията, често се сблъскват със затруднения при финансирането на допълнителните разходи, свързани със сътрудничеството между партньори, разположени в различни региони и в различни държави членки или трети държави. Като се има предвид значението на Европейското териториално сътрудничество (ЕТС) като цел на политиката на сближаване, осигуряващо рамка за изпълнението на съвместни действия и за обмен на политики между участници на национално, регионално и местно равнище от различни държави членки или от трети държави, настоящият регламент следва да отстрани някои трудности, пред които са изправени проектите по ЕТС, за да бъде улеснено тяхното съответствие с правилата за държавните помощи. Свързаните с ЕТС проблеми, които настоящият регламент следва да отстрани, се отнасят до приложимия интензитет на регионалната помощ за проекти по ЕТС, разходите на малките и средните предприятия, свързани със сътрудничеството и със задълженията за публикуване и предоставяне на информация, докладване и съхраняване на документи за целите на мониторинга. </w:t>
      </w:r>
    </w:p>
    <w:p w:rsidR="00F53E64" w:rsidRPr="00CB333D" w:rsidRDefault="00920A65" w:rsidP="00F53E64">
      <w:pPr>
        <w:pStyle w:val="Considrant"/>
      </w:pPr>
      <w:r w:rsidRPr="00CB333D">
        <w:t xml:space="preserve">Предвид на специфичните затруднения и различия между малките и средните предприятия могат да се прилагат различни основни интензитети на помощта и премии. </w:t>
      </w:r>
    </w:p>
    <w:p w:rsidR="00920A65" w:rsidRPr="00CB333D" w:rsidRDefault="00920A65" w:rsidP="001E6B1F">
      <w:pPr>
        <w:pStyle w:val="Considrant"/>
      </w:pPr>
      <w:r w:rsidRPr="00CB333D">
        <w:t>От опита, натрупан при прилагането на Насоките на Общността за държавна помощ за насърчаване на инвестиции в рисков капитал за малки и средни предприятия</w:t>
      </w:r>
      <w:r w:rsidRPr="00CB333D">
        <w:rPr>
          <w:rStyle w:val="FootnoteReference"/>
        </w:rPr>
        <w:footnoteReference w:id="12"/>
      </w:r>
      <w:r w:rsidRPr="00CB333D">
        <w:t xml:space="preserve">, става ясно, че на пазара на рисков капитал в Съюза в много отношения са налице неефективности, характерни за определени видове инвестиции, направени на някои етапи от развитието на предприятията. Тези пазарни неефективности се дължат на непълното съответствие между предлагането и търсенето на рисков капитал. В резултат на това обемът на предлагания на пазара рисков капитал може да бъде твърде ограничен, като предприятията не получават финансиране, макар да имат добър бизнес модел и перспективи за растеж. Основната причина за неефективност на пазарите за рисков капитал, която засяга специално достъпа на МСП до капитал и може да оправдае публичната намеса, е непълната или асиметрична информация. Тя засяга не само предоставянето на рисков капитал, но и препятства достъпа до дългово финансиране за някои МСП. Следователно мерките за рисково финансиране, които имат за цел да привлекат частен капитал за предоставяне на рисково финансиране на некотирани на фондовата борса МСП, засегнати от недостига на финансиране, и които гарантират, че решенията за финансиране са насочени към реализиране на печалба и финансовите посредници се управляват на търговски принцип, при определени условия следва да бъдат освободени от изискването за уведомяване. </w:t>
      </w:r>
    </w:p>
    <w:p w:rsidR="005D39EE" w:rsidRPr="00CB333D" w:rsidRDefault="009A1F2D" w:rsidP="009A1F2D">
      <w:pPr>
        <w:pStyle w:val="Considrant"/>
      </w:pPr>
      <w:r w:rsidRPr="00CB333D">
        <w:t xml:space="preserve">При определени условия помощите за стартиращи предприятия в полза на малки предприятия, помощите за алтернативни търговски платформи, специализирани в МСП, и помощите за проучвателни разходи, направени от МСП, следва да бъдат освободени от задължението за уведомяване. </w:t>
      </w:r>
    </w:p>
    <w:p w:rsidR="00920A65" w:rsidRPr="00CB333D" w:rsidRDefault="00920A65" w:rsidP="003D04E7">
      <w:pPr>
        <w:pStyle w:val="Considrant"/>
      </w:pPr>
      <w:r w:rsidRPr="00CB333D">
        <w:t>Помощите за научноизследователска и развойна дейност и помощите за иновации могат да допринесат за устойчивия икономически растеж, повишаването на конкурентоспособността и увеличаването на трудовата заетост. Придобитият опит при прилагането на Регламент (ЕО) № 800/2008 и Рамката на Общността за държавна помощ за научни изследвания, развойна дейност и иновации</w:t>
      </w:r>
      <w:r w:rsidRPr="00CB333D">
        <w:rPr>
          <w:rStyle w:val="FootnoteReference"/>
        </w:rPr>
        <w:footnoteReference w:id="13"/>
      </w:r>
      <w:r w:rsidRPr="00CB333D">
        <w:t xml:space="preserve"> показва, че неефективностите на пазара могат да му попречат да достигне до оптималните обеми и да понижат резултатността. Тези неефективни резултати обикновено са свързани с външни ефекти, разпространение на обществени блага/знания, непълна и асиметрична информация и координационна и мрежова неефективност.</w:t>
      </w:r>
    </w:p>
    <w:p w:rsidR="00920A65" w:rsidRPr="00CB333D" w:rsidRDefault="00920A65" w:rsidP="001E6B1F">
      <w:pPr>
        <w:pStyle w:val="Considrant"/>
      </w:pPr>
      <w:r w:rsidRPr="00CB333D">
        <w:t>Помощта за научноизследователска и развойна дейност и иновации е от изключително значение за МСП, които могат да срещнат трудности при получаването на достъп до нови технологични разработки, трансфер на знания и висококвалифициран персонал. Чрез помощите за проекти за научноизследователска и развойна дейност, помощите за проучвания за осъществимост и помощите за иновации в полза на МСП, включително помощите за покриване на разходи за права на индустриална собственост за МСП, тези проблеми могат да бъдат разрешени и следователно тези помощи следва да бъдат освободени от задължението за уведомяване при определени условия.</w:t>
      </w:r>
    </w:p>
    <w:p w:rsidR="00920A65" w:rsidRPr="00CB333D" w:rsidRDefault="00920A65" w:rsidP="009D3914">
      <w:pPr>
        <w:pStyle w:val="Considrant"/>
      </w:pPr>
      <w:r w:rsidRPr="00CB333D">
        <w:t>По отношение на помощите за проекти за научноизследователска и развойна дейност подпомаганата част от научноизследователския проект следва изцяло да попада в една от категориите фундаментални научни изследвания, индустриални научни изследвания или експериментално развитие. Когато един проект обхваща различни задачи, всяка задача следва да бъде класифицирана в една от категориите фундаментални научни изследвания, индустриални научни изследвания и експериментално развитие или като непопадаща в нито една от тези категории. Разпределянето в дадена категория не трябва задължително да бъде по хронологичен ред, започвайки от фундаментални научни изследвания към дейности, по-близки до пазара. Съответно задача, която се провежда на по-късен етап от проекта, може да се определи като индустриално научно изследване. Съответно дейност, която се провежда на по-ранен етап, може да представлява експериментално развитие. Подпомаганата част на проекта може да включва и предварителни проучвания за осъществимост на научноизследователски дейности.</w:t>
      </w:r>
    </w:p>
    <w:p w:rsidR="00D94A56" w:rsidRPr="00CB333D" w:rsidRDefault="00467010" w:rsidP="00887170">
      <w:pPr>
        <w:pStyle w:val="Considrant"/>
      </w:pPr>
      <w:r w:rsidRPr="00CB333D">
        <w:t>За провеждането на революционни научни изследвания и иновации все по-често са необходими висококачествени научноизследователски инфраструктури, т.к. те привличат световни таланти и са от жизненоважно значение, по-специално за новите информационни и комуникационни технологии и главните базови технологии. Публичните научноизследователски инфраструктури следва да продължат да си сътрудничат с индустриалните научни изследвания. Достъпът до публично финансирани научноизследователски инфраструктури следва да бъде предоставен на прозрачна и недискриминационна основа и при пазарни условия. Ако тези условия не са спазени, мярката за помощ не се освобождава от изискването за уведомяване. Една научноизследователска инфраструктура може да бъде притежавана, управлявана и използвана от няколко страни, а публичните субекти и предприятията могат да използват инфраструктурата в сътрудничество.</w:t>
      </w:r>
    </w:p>
    <w:p w:rsidR="00D94A56" w:rsidRPr="00CB333D" w:rsidRDefault="00D94A56" w:rsidP="00F05D31">
      <w:pPr>
        <w:pStyle w:val="Considrant"/>
      </w:pPr>
      <w:r w:rsidRPr="00CB333D">
        <w:t xml:space="preserve">Научноизследователските инфраструктури могат да извършват стопански и нестопански дейности. С цел да се предотврати отпускането на държавна помощ за стопански дейности чрез публично финансиране на нестопански дейности, разходите и финансирането на стопанските и на нестопанските дейности трябва да бъдат ясно обособими. Когато една инфраструктура се използва както за стопански, така и за нестопански дейности, финансирането чрез държавни ресурси на разходи, свързани с неикономическите дейности на инфраструктурите, не представлява държавна помощ. Публичното финансиране попада в приложното поле на правилата за държавна помощ само доколкото с него се покриват разходи, свързани със стопанските дейности. Само последните се вземат предвид, за да се гарантира, че са спазени праговете за уведомяване и максималните интензитети на помощ. Ако дадена инфраструктура се използва почти напълно за нестопанска дейност, тя може да попада изцяло извън обхвата на правилата за държавната помощ, дори ако се използва за чисто помощна стопанска дейност, т.е. дейност, която е пряко свързана и необходима за функционирането на инфраструктурата или неразделно свързана с нейното основно нестопанско използване, и нейният обхват е ограничен. Следва да се приеме, че случаят е такъв, когато капацитетът, заделен всяка година за тази дейност, не надвишава 15 % от целия годишен капацитет на научноизследователската инфраструктура. </w:t>
      </w:r>
    </w:p>
    <w:p w:rsidR="00D94A56" w:rsidRPr="00CB333D" w:rsidRDefault="00D94A56" w:rsidP="00D94A56">
      <w:pPr>
        <w:pStyle w:val="Considrant"/>
      </w:pPr>
      <w:r w:rsidRPr="00CB333D">
        <w:t>Помощта за иновационни клъстери има за цел да отстрани пазарни неефективности, свързани с проблеми в координацията, които пречат на развитието на клъстерите или ограничават взаимодействието и обмена на знания в тях. Държавната помощ би могла да допринесе за решаването на този проблем по два начина: първо, като подпомага инвестициите в отворени и споделени инфраструктурни обекти за иновационни клъстери и второ, като подпомага функционирането на клъстерите, така че да се засилят сътрудничеството, работата в мрежа и обучението. Оперативна помощ за иновационни клъстери следва обаче да се предоставя само за ограничен период от време. Съотношението на общия размер на помощта, предоставена за общите допустими разходи през този период, не следва да надхвърля 50 %, независимо от нейното разпределение през периода.</w:t>
      </w:r>
    </w:p>
    <w:p w:rsidR="00D94A56" w:rsidRPr="00CB333D" w:rsidRDefault="00D94A56" w:rsidP="00D94A56">
      <w:pPr>
        <w:pStyle w:val="Considrant"/>
      </w:pPr>
      <w:r w:rsidRPr="00CB333D">
        <w:t>Иновациите на процеси и организации могат да бъдат засегнати от пазарни неефективности под формата на несъвършена информация и положителни външни ефекти, които трябва да бъдат отстранени чрез специфични мерки. Помощта за този вид иновации е от значение главно за МСП, тъй като те са изправени пред ограничения, които могат да възпрепятстват способността им да подобрят своите методите на производство или доставка или да постигнат съществен напредък в основните стопански практики, организацията на работното място или външните отношения. С цел по-големите предприятия да бъдат стимулирани да си сътрудничат с МСП в иновационни дейности в областта на организацията и процесите мерките за помощ, които подкрепят разходите на големите предприятия за такива дейности, следва също да се ползват от груповото освобождаване при спазването на определени условия.</w:t>
      </w:r>
    </w:p>
    <w:p w:rsidR="00920A65" w:rsidRPr="00CB333D" w:rsidRDefault="00920A65" w:rsidP="003D04E7">
      <w:pPr>
        <w:pStyle w:val="Considrant"/>
      </w:pPr>
      <w:r w:rsidRPr="00CB333D">
        <w:t xml:space="preserve">Насърчаването на обучението и наемането на работещи в неравностойно положение и работещи с увреждания представлява главна цел на икономическата и социалната политика на Съюза и на неговите държави членки. </w:t>
      </w:r>
    </w:p>
    <w:p w:rsidR="00920A65" w:rsidRPr="00CB333D" w:rsidRDefault="00920A65" w:rsidP="001E6B1F">
      <w:pPr>
        <w:pStyle w:val="Considrant"/>
      </w:pPr>
      <w:r w:rsidRPr="00CB333D">
        <w:t>Обучението обикновено създава положителни външни ефекти за обществото като цяло, тъй като то води до увеличаване на съвкупността от квалифицирани работещи, които могат да бъдат наемани и от други предприятия, и до подобряване на конкурентоспособността на промишлеността в Съюза и играе важна роля в стратегията за заетостта на Съюза. Следователно тези помощи следва да бъдат освободени от изискването за уведомяване при определени условия. С оглед на специфичните затруднения, с които се сблъскват МСП, и по-високите относителни разходи, които те трябва да поемат при инвестиране в обучение, интензитетът на помощ, освободена по силата на настоящия регламент, следва да бъде по-висок за МСП. Освен това интензитетите на помощи, освободени в съответствие с настоящия регламент, следва да бъдат увеличени, ако обучението е предназначено за работещи с увреждания и работещи в неравностойно положение. Характеристиките на обучението в морския транспорт оправдават специфичен подход за този сектор.</w:t>
      </w:r>
    </w:p>
    <w:p w:rsidR="007757C1" w:rsidRPr="00CB333D" w:rsidRDefault="00920A65" w:rsidP="007757C1">
      <w:pPr>
        <w:pStyle w:val="Considrant"/>
      </w:pPr>
      <w:r w:rsidRPr="00CB333D">
        <w:t>Някои категории работещи с увреждания и работещи в неравностойно положение все още изпитват особени трудности да навлязат и да се задържат на трудовия пазар. Поради тази причина е основателно публичните органи да прилагат мерки за предоставяне на стимули на предприятията да увеличават равнището на заетост на тези категории работещи, по-специално на млади хора. Разходите за наемане на персонал представляват част от обичайните разходи за дейността на всяко предприятие. Затова е особено важно помощта за наемане на работещи с увреждания и работещи в неравностойно положение да оказва положително въздействие върху равнището на заетост на тези категории работещи, а не само да позволява на предприятията да намалят разходите, които те трябва да понесат в противен случай. Следователно тези помощи следва да бъдат освободени от изискването за уведомяване, когато се предполага, че те ще помогнат на споменатите по-горе категории работещи да навлязат или да се завърнат и да се задържат на трудовия пазар. Основните елементи от стратегията на ЕС за хората с увреждания</w:t>
      </w:r>
      <w:r w:rsidRPr="00CB333D">
        <w:rPr>
          <w:rStyle w:val="FootnoteReference"/>
        </w:rPr>
        <w:footnoteReference w:id="14"/>
      </w:r>
      <w:r w:rsidRPr="00CB333D">
        <w:t xml:space="preserve"> в съчетание с мерките за борба с дискриминацията, равните възможности и активното приобщаване отразяват Конвенцията на Организацията на обединените нации за правата на хората с увреждания, по която страна са ЕС и по-голямата част от държавите членки. В настоящия регламент позоваванията на „помощ за работещи с увреждания“ са по смисъла на член 1 от Конвенцията.</w:t>
      </w:r>
    </w:p>
    <w:p w:rsidR="002B247E" w:rsidRPr="00CB333D" w:rsidRDefault="002B247E" w:rsidP="00B0369C">
      <w:pPr>
        <w:pStyle w:val="Considrant"/>
      </w:pPr>
      <w:r w:rsidRPr="00CB333D">
        <w:t>Устойчивият растеж за една по-екологична и по-конкурентоспособна икономика с ефективно използване на ресурсите е един от основните стълбове на стратегията за растеж „Европа 2020“</w:t>
      </w:r>
      <w:r w:rsidRPr="00CB333D">
        <w:rPr>
          <w:rStyle w:val="FootnoteReference"/>
        </w:rPr>
        <w:footnoteReference w:id="15"/>
      </w:r>
      <w:r w:rsidRPr="00CB333D">
        <w:t>. Той се основава, наред с други фактори, на високо равнище на опазване на околната среда и подобряване на нейното качество. Опазването на околната среда е свързано с пазарна неефективност, която е причината при нормални пазарни условия предприятията невинаги да имат стимул да намаляват причиненото от тях замърсяване, тъй като това може да доведе до увеличаване на техните разходи без съответни ползи. Когато предприятията не са задължени да поемат разходите за замърсяването, тези разходи са за сметка на цялото общество.</w:t>
      </w:r>
    </w:p>
    <w:p w:rsidR="002B247E" w:rsidRPr="00CB333D" w:rsidRDefault="00B0369C" w:rsidP="00B0369C">
      <w:pPr>
        <w:pStyle w:val="Considrant"/>
      </w:pPr>
      <w:r w:rsidRPr="00CB333D">
        <w:t>Въвеждането на задължителни стандарти за опазване на околната среда може да отстрани такава пазарна неефективност. По-високо равнище на опазване на околната среда може да се постигне чрез инвестиции, които надхвърлят задължителните стандарти на Съюза. За насърчаване на предприятията да повишат равнището на опазване на околната среда над задължителните стандарти на Съюза държавните помощи в тази област трябва да бъдат освободени групово. За да не бъдат разубедени държавите членки да установят задължителни национални стандарти, които са по-строги от съответните стандарти на Съюза, такава държавна помощ може да бъде предоставена независимо от наличието на задължителни национални стандарти, които са по-строги от стандартите на Съюза.</w:t>
      </w:r>
    </w:p>
    <w:p w:rsidR="00B0369C" w:rsidRPr="00CB333D" w:rsidRDefault="00B0369C" w:rsidP="0034045B">
      <w:pPr>
        <w:pStyle w:val="Considrant"/>
      </w:pPr>
      <w:r w:rsidRPr="00CB333D">
        <w:t>По принцип не следва да се отпуска помощ, когато инвестициите привеждат предприятията в съответствие със стандартите на Съюза, които вече са приети, но все още не са влезли в сила. Държавната помощ може обаче да накара предприятията да подобрят поведението си спрямо околната среда, ако такава държавна помощ ги насърчава да се адаптират рано към бъдещи стандарти на Съюза, преди тези стандарти да влязат в сила и стига те да не се прилагат със задна дата. Благодарение на помощта за предприятия с цел адаптирането им към бъдещи стандарти на Съюза може по-ранно да бъде достигнато високо равнище на опазване на околната среда и следователно настоящият регламент следва да освободи такива категория помощи.</w:t>
      </w:r>
    </w:p>
    <w:p w:rsidR="002B247E" w:rsidRPr="00CB333D" w:rsidRDefault="00B0369C" w:rsidP="0079162A">
      <w:pPr>
        <w:pStyle w:val="Considrant"/>
      </w:pPr>
      <w:r w:rsidRPr="00CB333D">
        <w:t>В стратегията „Европа 2020“ ЕС си е поставил целта до 2020 г. да постигне 20 %-но увеличение на енергийната ефективност и затова прие Директивата за енергийна ефективност, с която установява обща рамка за насърчаването на енергийната ефективност в Европейския съюз в преследване на по-общата цел за спестяване на най-малко 20 % от потреблението на първична енергия в Европейския съюз. С цел да се улесни постигането на тези цели мерки в подкрепа на инвестициите за енергийна ефективност и икономии на енергия, за високоефективно комбинирано производство на енергия, както и за енергийноефективно централно отопление и охлаждане, следва да бъдат освободени групово.</w:t>
      </w:r>
    </w:p>
    <w:p w:rsidR="00E904BE" w:rsidRPr="00CB333D" w:rsidRDefault="001F02B4" w:rsidP="0079162A">
      <w:pPr>
        <w:pStyle w:val="Considrant"/>
      </w:pPr>
      <w:r w:rsidRPr="00CB333D">
        <w:t>За да бъдат постигнати целите на ЕС по отношение на енергията от възобновяеми енергийни източници</w:t>
      </w:r>
      <w:r w:rsidRPr="00CB333D">
        <w:rPr>
          <w:rStyle w:val="FootnoteReference"/>
        </w:rPr>
        <w:footnoteReference w:id="16"/>
      </w:r>
      <w:r w:rsidRPr="00CB333D">
        <w:t xml:space="preserve"> и доколкото е необходима допълнителна подкрепа за регулаторната рамка, като например схемата на ЕС за търговия с емисии</w:t>
      </w:r>
      <w:r w:rsidRPr="00CB333D">
        <w:rPr>
          <w:rStyle w:val="FootnoteReference"/>
        </w:rPr>
        <w:footnoteReference w:id="17"/>
      </w:r>
      <w:r w:rsidRPr="00CB333D">
        <w:t>, в настоящия регламент следва да се предвиди възможността да бъде освободена помощта, отпусната в подкрепа на енергията от възобновяеми енергийни източници. С оглед на ограниченото нарушаване на търговията и на конкуренцията, в настоящият регламент следва също да се предвиди възможността за групово освобождаване на оперативната помощ за малки инсталации, произвеждащи енергия от възобновяеми източници, при спазването на добре определени условия. Въпреки това, за да се сведе до минимум размерът на помощта, подпомагането на производството на електроенергия от възобновяеми източници следва да бъде освободено групово от забрана, ако е отпуснато въз основа на конкурентна тръжна процедура и използването на механизъм, който подлага производителите на енергия от възобновяеми източници на пазарните цени.</w:t>
      </w:r>
    </w:p>
    <w:p w:rsidR="003A61C3" w:rsidRPr="00CB333D" w:rsidRDefault="003A61C3" w:rsidP="003A61C3">
      <w:pPr>
        <w:pStyle w:val="Considrant"/>
      </w:pPr>
      <w:r w:rsidRPr="00CB333D">
        <w:t>Що се отнася до помощите за производство на водноелектрическа енергия, тяхното въздействие може да бъде в два аспекта. От една страна, те имат положително въздействие поради ниските емисии на парникови газове, но от друга страна те могат да въздействат отрицателно върху водните системи и биологичното разнообразие. Следователно, когато отпускат помощи, предназначени за водноелектрически централи, държавите членки следва да спазват Директива 2000/60/ЕО на Европейския парламент и на Съвета от 23 октомври 2000 г. за установяване на рамка за действията на Общността в областта на политиката за водите, и по-специално член 4, параграф 7, който определя критериите за разрешаване на нови промени на водни обекти.</w:t>
      </w:r>
    </w:p>
    <w:p w:rsidR="002B247E" w:rsidRPr="00CB333D" w:rsidRDefault="00E931BC" w:rsidP="00E2072F">
      <w:pPr>
        <w:pStyle w:val="Considrant"/>
      </w:pPr>
      <w:r w:rsidRPr="00CB333D">
        <w:t>Освен това трябва да се гарантира, че помощ се отпуска единствено за устойчиви форми на енергия от възобновяеми енергийни източници. Помощта за биогорива следва да бъде обхваната от настоящия регламент, доколкото тя се предоставя за модерни видове биогорива в съответствие с предложението на Комисията за ограничаване в световен мащаб на преобразуването на земи с цел производство на биогорива</w:t>
      </w:r>
      <w:r w:rsidRPr="00CB333D">
        <w:rPr>
          <w:rStyle w:val="FootnoteReference"/>
        </w:rPr>
        <w:footnoteReference w:id="18"/>
      </w:r>
      <w:r w:rsidRPr="00CB333D">
        <w:t>.</w:t>
      </w:r>
    </w:p>
    <w:p w:rsidR="002B247E" w:rsidRPr="00CB333D" w:rsidRDefault="002B247E" w:rsidP="001E6B1F">
      <w:pPr>
        <w:pStyle w:val="Considrant"/>
      </w:pPr>
      <w:r w:rsidRPr="00CB333D">
        <w:t>Помощите под формата на намаления на данъците съгласно Директива 2003/96/EC</w:t>
      </w:r>
      <w:r w:rsidRPr="00CB333D">
        <w:rPr>
          <w:rStyle w:val="FootnoteReference"/>
        </w:rPr>
        <w:footnoteReference w:id="19"/>
      </w:r>
      <w:r w:rsidRPr="00CB333D">
        <w:t xml:space="preserve"> с цел опазване на околната среда, обхванати от настоящия регламент, могат да окажат косвено благоприятно въздействие върху околната среда. Независимо от това, данъците за околна среда следва да отразяват социалната цена на емисиите, докато намаленията на данъци могат да окажат неблагоприятно въздействие върху тази цел. Следователно изглежда целесъобразно техният срок на действие да бъде ограничен до срока на действие на настоящия регламент. След този срок държавите членки следва да преразгледат целесъобразността на съответните намаления на данъците. Този член обаче се прилага, когато мярката за помощ, предоставена под формата на освобождаване от данъци, е обхваната от конкретен член от настоящия регламент.</w:t>
      </w:r>
    </w:p>
    <w:p w:rsidR="006D1946" w:rsidRPr="00CB333D" w:rsidRDefault="006D1946" w:rsidP="00250B1D">
      <w:pPr>
        <w:pStyle w:val="Considrant"/>
      </w:pPr>
      <w:r w:rsidRPr="00CB333D">
        <w:t>Помощ за саниране на замърсени обекти е оправдана, когато лицето, отговорно за замърсяването съгласно приложимото право, не може да бъде идентифицирано, за да бъде приложен принципът „замърсителят плаща“. Условията относно екологичната отговорност по отношение на предотвратяването и отстраняване на екологичните щети, съгласно определението в Директива 2004/35/CE</w:t>
      </w:r>
      <w:r w:rsidRPr="00CB333D">
        <w:rPr>
          <w:rStyle w:val="FootnoteReference"/>
        </w:rPr>
        <w:footnoteReference w:id="20"/>
      </w:r>
      <w:r w:rsidRPr="00CB333D">
        <w:t xml:space="preserve"> на Европейския парламент и на Съвета от 21 април 2004 г., изменена с Директива 2006/21/ЕО</w:t>
      </w:r>
      <w:r w:rsidRPr="00CB333D">
        <w:rPr>
          <w:rStyle w:val="FootnoteReference"/>
        </w:rPr>
        <w:footnoteReference w:id="21"/>
      </w:r>
      <w:r w:rsidRPr="00CB333D">
        <w:t xml:space="preserve"> и Директива 2009/31/ЕО</w:t>
      </w:r>
      <w:r w:rsidRPr="00CB333D">
        <w:rPr>
          <w:rStyle w:val="FootnoteReference"/>
        </w:rPr>
        <w:footnoteReference w:id="22"/>
      </w:r>
      <w:r w:rsidRPr="00CB333D">
        <w:t xml:space="preserve"> следва да се прилагат. Затова с цел да се улесни отстраняване на съществуващите щети за околната среда, настоящият регламент следва да освободи този вид помощ при спазването на определени условия.</w:t>
      </w:r>
    </w:p>
    <w:p w:rsidR="00241097" w:rsidRPr="00CB333D" w:rsidRDefault="006D1946" w:rsidP="001E6B1F">
      <w:pPr>
        <w:pStyle w:val="Considrant"/>
      </w:pPr>
      <w:r w:rsidRPr="00CB333D">
        <w:t>Проучванията в областта на околната среда могат да помогнат за определянето на инвестициите, необходими за постигане на по-високо равнище на опазване на околната среда. По тази причина обхванатите от настоящия регламент държавни помощи за извършването на проучвания в областта на околната среда в подкрепа на инвестициите за нейното опазване, следва да бъдат освободени групово. Тъй като обследването за енергийна ефективност е задължително за големи предприятия, те не следва да се ползват от държавна помощ.</w:t>
      </w:r>
    </w:p>
    <w:p w:rsidR="00EC568F" w:rsidRPr="00CB333D" w:rsidRDefault="00EC568F" w:rsidP="00EC568F">
      <w:pPr>
        <w:pStyle w:val="Considrant"/>
      </w:pPr>
      <w:r w:rsidRPr="00CB333D">
        <w:t xml:space="preserve">В съответствие с член 107, параграф 2, буква б) от Договора помощите за отстраняване на щети, причинени от природни бедствия или други извънредни събития, са съвместими с вътрешния пазар. За целите на настоящия регламент земетресения, свлачища наводнения, по-специално наводнения, предизвикани от излизането на реки и езера от техните корита, лавини, смерчове, урагани, вулканични изригвания и горски пожари следва да се считат за събития, представляващи природно бедствие. Щети, причинени от неблагоприятни климатични условия като слана, градушка, заледяване, дъжд или суша, които настъпват по-редовно, не следва да се считат за природно бедствие по смисъла на член 107, параграф 2, буква б) от Договора. За да се гарантира, че помощта, отпусната за отстраняването на щети, причинени от природни бедствия, действително е обхваната от изключението, в настоящия регламент следва да бъдат предвидени условия в съответствие с установената практика, с чието изпълнение ще се гарантира, че схемите за помощ за отстраняването на щети, причинени от природни бедствия, могат да се възползват от групово освобождаване. Тези условия следва да се отнасят по-специално до официалното признаване от страна на компетентните органи на държавите членки на характера на събитието като природно бедствие, до пряката причинно-следствена връзка между щетите, причинени от природното бедствие, и щетите, понесени от предприятията бенефициери, като сред тях могат и да са предприятия в затруднено положение, и следва да гарантират, че се избягва свръхкомпенсиране. Компенсацията не следва да надвишава това, което е необходимо на бенефициера да се върне към положението от преди бедствието. </w:t>
      </w:r>
    </w:p>
    <w:p w:rsidR="00EC568F" w:rsidRPr="00CB333D" w:rsidRDefault="00EC568F" w:rsidP="00EC568F">
      <w:pPr>
        <w:pStyle w:val="Considrant"/>
      </w:pPr>
      <w:r w:rsidRPr="00CB333D">
        <w:t>Помощта за въздушния и морския пътнически транспорт има социален характер, ако решава проблема за наличието на постоянни и надеждни връзки за живеещите в отдалечени региони, като намалява някои цени на билетите за транспорт. Това може да е така за най-отдалечени региони, Малта, Кипър, островите, които са част от територията на държава членка, и слабо населените региони. Когато един отдалечен регион е свързан с Европейското икономическо пространство чрез няколко транспортни маршрута, включително непреки маршрути, предоставянето на помощ следва да бъде възможно за всички тези маршрути и за транспорт от всички превозвачи, пътуващи по тези маршрути. Помощ следва да се предоставя, без да се прави разграничение по отношение на самоличността на превозвача или вида на услугата и може да е предназначена за редовни, чартърни и нискотарифни услуги.</w:t>
      </w:r>
    </w:p>
    <w:p w:rsidR="00EC568F" w:rsidRPr="00CB333D" w:rsidRDefault="00EC568F" w:rsidP="00981DED">
      <w:pPr>
        <w:pStyle w:val="Considrant"/>
      </w:pPr>
      <w:r w:rsidRPr="00CB333D">
        <w:t>Широколентовият достъп е от стратегическо значение за постигането на целите на стратегия „Европа 2020“ за интелигентен, устойчив и приобщаващ растеж и иновации и за социално и териториално сближаване</w:t>
      </w:r>
      <w:r w:rsidRPr="00CB333D">
        <w:rPr>
          <w:rStyle w:val="FootnoteReference"/>
        </w:rPr>
        <w:footnoteReference w:id="23"/>
      </w:r>
      <w:r w:rsidRPr="00CB333D">
        <w:t xml:space="preserve">. Инвестиционната помощ за широколентова инфраструктура има за цел да се насърчи въвеждането на тези инфраструктури и свързаните с тях дейности в областта на гражданското строителство в региони, в които не съществува сравнима инфраструктура, нито е вероятно в близко бъдеще тя да бъде въведена от пазарни оператори. Предвид на натрупания от Комисията опит такива инвестиции не водят до неоправдано нарушаване на търговията и конкуренцията, стига да са спазени условията, посочени в настоящия регламент. Тези условия следва да целят, по-специално, ограничаване на нарушаването на конкуренцията чрез обвързване на помощта с конкурентна процедура за подбор, която да е технологично неутрална, и чрез осигуряване на достъп „на едро“ до субсидираните мрежи, като се вземе предвид помощта, получена от техните оператори. Въпреки че при определени условия виртуалният необвързан достъп може се счита за равностоен на физическия необвързан достъп, докато не бъде придобит повече опит, е необходимо да се оценява за всеки отделен случай дали конкретен нефизически или виртуален достъп на едро следва да се счита за равностоен на необвързан достъп до абонатната линия. По тази причина до вземането предвид, за целите на едно бъдещо преразглеждане, на такъв опит във вземането на решения за държавна помощ по индивидуални случаи или в </w:t>
      </w:r>
      <w:r w:rsidRPr="00CB333D">
        <w:rPr>
          <w:i/>
        </w:rPr>
        <w:t>ex ante</w:t>
      </w:r>
      <w:r w:rsidRPr="00CB333D">
        <w:t xml:space="preserve"> регулаторен контекст, следва да се изисква физически необвързан достъп, за да е възможно възползването от настоящия регламент за групово освобождаване. Когато промените в бъдещите разходи и приходи са несигурни и при силно изразена асиметрия в информацията, държавите членки следва също да възприемат модели за финансиране, включващи механизми за контрол и за дължими възстановявания, чрез които да е възможно непредвидените печалби да бъдат споделени по уравновесен начин. С цел да се избегне несъразмерна тежест за малки местни проекти, тези модели следва да се въвеждат само за проекти, надвишаващи определен минимален праг.</w:t>
      </w:r>
    </w:p>
    <w:p w:rsidR="00EC568F" w:rsidRPr="00CB333D" w:rsidRDefault="00EC568F" w:rsidP="00EC568F">
      <w:pPr>
        <w:pStyle w:val="Considrant"/>
      </w:pPr>
      <w:r w:rsidRPr="00CB333D">
        <w:t xml:space="preserve">В сектора на културата и опазването на културното наследство редица мерки, предприети от държавите членки, могат да не представляват държавна помощ, тъй като не отговарят на всички критерии по член 107, параграф 1 от Договора, например поради това, че дейността не е стопанска или не е засегната търговията между държавите членки. До степента, до която тези мерки са обхванати от член 107, параграф 1 от Договора, културните институции и проекти обикновено не водят до значителни нарушения на конкуренцията и опитът показва, че такава помощ е с ограничено въздействие върху търговията. В член 167 от Договора се признава значението на насърчаването на културата за Европейския съюз и държавите членки и се предвижда, че в своята дейност по силата на други разпоредби на Договора Съюзът взема предвид културните аспекти, по-специално с цел зачитане и насърчаване на разнообразието на своите култури. Поради двойното естество на културата, от една страна като икономическо благо, което предоставя важни възможности за създаването на благосъстояние и заетост, и, от друга страна, като носител на идентичности, ценности и плурализъм, които отразяват и оформят нашите общества, правилата относно контрола върху държавната помощ следва да отчитат особеностите на културата и свързаните с нея стопански дейности. За да бъде изяснено приложното поле на настоящия регламент, следва да бъде съставен списък с културни проекти и дейности, а допустимите разходи да бъдат уточнени. Груповото освобождаване следва да обхваща както инвестиционните, така и оперативните помощи под определени прагове, при условие че свръхкомпенсация е изключена. Поради по-големия риск от нарушаване на конкуренцията настоящият регламент, по принцип, следва да не се прилага за дейности, които макар и да притежават културен аспект, са предимно с търговски характер. По тази причина по-специално настоящият регламент не следва да се прилага за пресата и списанията (печатни или електронни). Освен това в списъка с допустимите културни цели и дейности не следва да бъдат включени търговски дейности като мода, дизайн или видео игри. </w:t>
      </w:r>
    </w:p>
    <w:p w:rsidR="00EC568F" w:rsidRPr="00CB333D" w:rsidRDefault="00EC568F" w:rsidP="00EC568F">
      <w:pPr>
        <w:pStyle w:val="Considrant"/>
      </w:pPr>
      <w:r w:rsidRPr="00CB333D">
        <w:t>Аудио-визуалните произведения играят важна роля за оформяне на идентичностите в Европа и отразяват различните традиции на държавите членки и регионите в Съюза. Докато между филми, произведени извън Съюза, има силна конкуренция, разпространението на европейски филми извън тяхната страна на произход е ограничено, което се дължи на фрагментарността на пазара на национален или регионален. Секторът се характеризира с високи разходи за инвестиции, усещането за липса на рентабилност поради ограничената публика, както и с трудности в мобилизирането на допълнително частно финансиране. Поради тези особености на аудио-визуалния и филмовия сектор и тяхната икономическа значимост Комисията разработи специфични критерии за оценка на необходимостта, пропорционалността и адекватността на помощта за писане на сценарии, разработка, производство, разпространение и реклама на аудио-визуални произведения.</w:t>
      </w:r>
      <w:r w:rsidRPr="00CB333D">
        <w:rPr>
          <w:i/>
        </w:rPr>
        <w:t xml:space="preserve"> </w:t>
      </w:r>
      <w:r w:rsidRPr="00CB333D">
        <w:t>В Съобщението относно филмовата индустрия от 2013 г.</w:t>
      </w:r>
      <w:r w:rsidRPr="00CB333D">
        <w:rPr>
          <w:rStyle w:val="FootnoteReference"/>
        </w:rPr>
        <w:footnoteReference w:id="24"/>
      </w:r>
      <w:r w:rsidRPr="00CB333D">
        <w:t xml:space="preserve"> бяха определени нови критерии, които следва да бъдат отразени в правила за групово освобождаване за схеми за държавна помощ за аудио-визуални произведения. По-големи интензитети на помощ са оправдани за трансгранични продукции и съвместни продукции, за които е по-вероятно да бъдат разпространени в няколко държави членки.</w:t>
      </w:r>
    </w:p>
    <w:p w:rsidR="00EC568F" w:rsidRPr="00CB333D" w:rsidRDefault="00EC568F" w:rsidP="00F05D31">
      <w:pPr>
        <w:pStyle w:val="Considrant"/>
      </w:pPr>
      <w:r w:rsidRPr="00CB333D">
        <w:t>Доколкото представляват държавна помощ, мерките за инвестиционна помощ за спортни инфраструктури следва да бъдат освободени групово, ако отговарят на изискванията на настоящия регламент. В спортния сектор известен брой мерки, предприети от държавите членки, не могат да представляват държавна помощ, тъй като бенефициерът не извършва стопанска дейност или защото те не оказват въздействие върху търговията между държавите членки. При определени обстоятелства такъв може да е случаят с мерки за помощ, които са с чисто местен характер или които са от полза за аматьорския спорт. В член 165 от Договора се признава важността от насърчаването на ролята на спорта в европейския живот, като в същото време се отчитат неговите особености и структури, основаващи се на доброволното участие, както и неговата социална и възпитателна функция. Помощ за инфраструктури, които обслужват повече от една цел за отдих и поради това са многофункционални, следва също да бъде освободена групово. При все това, помощ за многофункционалните туристически инфраструктури, като например увеселителни паркове и хотелски обекти, следва да бъде освободена само ако е част от схеми за регионална помощ, предназначени за туристически дейности в подпомагани региони, които имат особено положително въздействие върху регионалното развитие. Условията за съвместимост по отношение на отпускането на помощ за спорт или за многофункционални инфраструктури следва да гарантират, по-специално, открит и недискриминационен достъп до инфраструктурите и справедлива процедура за отдаване на концесии на трети страни, натоварени с изграждането, модернизирането и/или експлоатацията на инфраструктурата, в съгласие със съответните разпоредби на правото на Съюза, както и на съдебната практика на съдилищата на Съюза. Ако спортната инфраструктура се използва от професионални спортни клубове, тарифата за използването на инфраструктурата от тези клубове следва да бъде публично достъпна, за да се гарантира прозрачност и равнопоставеност на ползвателите. Следва да се гарантирано, че е изключена свръхкомпенсацията.</w:t>
      </w:r>
    </w:p>
    <w:p w:rsidR="00924A48" w:rsidRPr="00CB333D" w:rsidRDefault="00AD2213" w:rsidP="00F05D31">
      <w:pPr>
        <w:pStyle w:val="Considrant"/>
      </w:pPr>
      <w:r w:rsidRPr="00CB333D">
        <w:t>С оглед на опита на Комисията в тази област по принцип е необходимо политиката за държавна помощ да се преразглежда периодично. Ето защо срокът на прилагане на настоящия регламент следва да бъде ограничен. Поради това за групово освободени схеми за помощ е целесъобразно да се предвидят преходни разпоредби, а именно правила, предвиждащи период за адаптиране при изтичането на срока на действие на настоящия регламент. Тези правила следва да оставят на държавите членки време да се адаптират към евентуалния нов режим. Периодът за адаптиране обаче не следва да се прилага за някои схеми за помощ за рисково финансиране, както и за схеми за регионална помощ, включително регионални схеми за помощ за градско развитие, чието освобождаване трябва да приключи на датата, на която изтича срокът на одобрените карти на регионална помощ,</w:t>
      </w:r>
    </w:p>
    <w:p w:rsidR="001C6602" w:rsidRPr="00CB333D" w:rsidRDefault="001C6602" w:rsidP="00C247D6">
      <w:pPr>
        <w:pStyle w:val="Formuledadoption"/>
        <w:spacing w:before="360" w:after="360"/>
      </w:pPr>
      <w:r w:rsidRPr="00CB333D">
        <w:t>ПРИЕ НАСТОЯЩИЯ РЕГЛАМЕНТ:</w:t>
      </w:r>
    </w:p>
    <w:p w:rsidR="00042815" w:rsidRPr="00CB333D" w:rsidRDefault="00042815" w:rsidP="00630212">
      <w:pPr>
        <w:pStyle w:val="ChapterTitle"/>
        <w:spacing w:before="600"/>
      </w:pPr>
      <w:bookmarkStart w:id="2" w:name="_Toc377391815"/>
      <w:r w:rsidRPr="00CB333D">
        <w:t xml:space="preserve">ГЛАВА </w:t>
      </w:r>
      <w:bookmarkStart w:id="3" w:name="ChapterI"/>
      <w:r w:rsidRPr="00CB333D">
        <w:t>I</w:t>
      </w:r>
      <w:bookmarkEnd w:id="2"/>
      <w:bookmarkEnd w:id="3"/>
    </w:p>
    <w:p w:rsidR="00042815" w:rsidRPr="00CB333D" w:rsidRDefault="00E74992" w:rsidP="00060DD5">
      <w:pPr>
        <w:pStyle w:val="Titrearticle"/>
        <w:spacing w:before="480"/>
        <w:rPr>
          <w:b/>
        </w:rPr>
      </w:pPr>
      <w:r w:rsidRPr="00CB333D">
        <w:t xml:space="preserve">Член 1 </w:t>
      </w:r>
      <w:r w:rsidRPr="00CB333D">
        <w:br/>
      </w:r>
      <w:r w:rsidRPr="00CB333D">
        <w:rPr>
          <w:b/>
        </w:rPr>
        <w:t>Приложно поле</w:t>
      </w:r>
    </w:p>
    <w:p w:rsidR="00042815" w:rsidRPr="00CB333D" w:rsidRDefault="00042815" w:rsidP="000773EE">
      <w:pPr>
        <w:pStyle w:val="NumPar1"/>
        <w:numPr>
          <w:ilvl w:val="0"/>
          <w:numId w:val="60"/>
        </w:numPr>
      </w:pPr>
      <w:r w:rsidRPr="00CB333D">
        <w:t>Настоящият регламент се прилага за следните категории помощи:</w:t>
      </w:r>
    </w:p>
    <w:p w:rsidR="00042815" w:rsidRPr="00CB333D" w:rsidRDefault="00032A33" w:rsidP="00032A33">
      <w:pPr>
        <w:pStyle w:val="Point1"/>
      </w:pPr>
      <w:r>
        <w:t>а)</w:t>
      </w:r>
      <w:r w:rsidRPr="00032A33">
        <w:tab/>
      </w:r>
      <w:r w:rsidR="00042815" w:rsidRPr="00CB333D">
        <w:t>регионални помощи;</w:t>
      </w:r>
    </w:p>
    <w:p w:rsidR="00042815" w:rsidRPr="00CB333D" w:rsidRDefault="00032A33" w:rsidP="00032A33">
      <w:pPr>
        <w:pStyle w:val="Point1"/>
      </w:pPr>
      <w:r>
        <w:t>б)</w:t>
      </w:r>
      <w:r w:rsidRPr="00032A33">
        <w:tab/>
      </w:r>
      <w:r w:rsidR="00042815" w:rsidRPr="00CB333D">
        <w:t>помощи за МСП под формата на инвестиционна помощ, оперативна помощ и достъп на МСП до финансиране;</w:t>
      </w:r>
    </w:p>
    <w:p w:rsidR="00042815" w:rsidRPr="00CB333D" w:rsidRDefault="00032A33" w:rsidP="00032A33">
      <w:pPr>
        <w:pStyle w:val="Point1"/>
      </w:pPr>
      <w:r>
        <w:t>в)</w:t>
      </w:r>
      <w:r w:rsidRPr="00032A33">
        <w:tab/>
      </w:r>
      <w:r w:rsidR="00042815" w:rsidRPr="00CB333D">
        <w:t>помощи за опазване на околната среда;</w:t>
      </w:r>
    </w:p>
    <w:p w:rsidR="00042815" w:rsidRPr="00CB333D" w:rsidRDefault="00032A33" w:rsidP="00032A33">
      <w:pPr>
        <w:pStyle w:val="Point1"/>
      </w:pPr>
      <w:r>
        <w:t>г)</w:t>
      </w:r>
      <w:r w:rsidRPr="00032A33">
        <w:tab/>
      </w:r>
      <w:r w:rsidR="00042815" w:rsidRPr="00CB333D">
        <w:t>помощи за научноизследователска и развойна дейност и иновации;</w:t>
      </w:r>
    </w:p>
    <w:p w:rsidR="00042815" w:rsidRPr="00CB333D" w:rsidRDefault="00032A33" w:rsidP="00032A33">
      <w:pPr>
        <w:pStyle w:val="Point1"/>
      </w:pPr>
      <w:r>
        <w:t>д)</w:t>
      </w:r>
      <w:r w:rsidRPr="00032A33">
        <w:tab/>
      </w:r>
      <w:r w:rsidR="00042815" w:rsidRPr="00CB333D">
        <w:t>помощи за обучение;</w:t>
      </w:r>
    </w:p>
    <w:p w:rsidR="00042815" w:rsidRPr="00CB333D" w:rsidRDefault="00032A33" w:rsidP="00032A33">
      <w:pPr>
        <w:pStyle w:val="Point1"/>
      </w:pPr>
      <w:r>
        <w:t>е)</w:t>
      </w:r>
      <w:r w:rsidRPr="00032A33">
        <w:tab/>
      </w:r>
      <w:r w:rsidR="00042815" w:rsidRPr="00CB333D">
        <w:t>помощи за работещи в неравностойно положение и за работещи с увреждания;</w:t>
      </w:r>
    </w:p>
    <w:p w:rsidR="0018110C" w:rsidRPr="00CB333D" w:rsidRDefault="00032A33" w:rsidP="00032A33">
      <w:pPr>
        <w:pStyle w:val="Point1"/>
      </w:pPr>
      <w:r>
        <w:t>ж)</w:t>
      </w:r>
      <w:r w:rsidRPr="00032A33">
        <w:tab/>
      </w:r>
      <w:r w:rsidR="0018110C" w:rsidRPr="00CB333D">
        <w:t>помощи за отстраняване на щети, причинени от някои природни бедствия;</w:t>
      </w:r>
    </w:p>
    <w:p w:rsidR="0018110C" w:rsidRPr="00CB333D" w:rsidRDefault="00032A33" w:rsidP="00032A33">
      <w:pPr>
        <w:pStyle w:val="Point1"/>
      </w:pPr>
      <w:r>
        <w:t>з)</w:t>
      </w:r>
      <w:r w:rsidRPr="00032A33">
        <w:tab/>
      </w:r>
      <w:r w:rsidR="0018110C" w:rsidRPr="00CB333D">
        <w:t>социални помощи за транспорт за живеещите в отдалечени региони;</w:t>
      </w:r>
    </w:p>
    <w:p w:rsidR="0018110C" w:rsidRPr="00CB333D" w:rsidRDefault="00032A33" w:rsidP="00032A33">
      <w:pPr>
        <w:pStyle w:val="Point1"/>
      </w:pPr>
      <w:r>
        <w:t>и)</w:t>
      </w:r>
      <w:r w:rsidRPr="00032A33">
        <w:tab/>
      </w:r>
      <w:r w:rsidR="0018110C" w:rsidRPr="00CB333D">
        <w:t>помощи за широколентови инфраструктури;</w:t>
      </w:r>
    </w:p>
    <w:p w:rsidR="0018110C" w:rsidRPr="00CB333D" w:rsidRDefault="00032A33" w:rsidP="00032A33">
      <w:pPr>
        <w:pStyle w:val="Point1"/>
      </w:pPr>
      <w:r>
        <w:t>й)</w:t>
      </w:r>
      <w:r w:rsidRPr="00032A33">
        <w:tab/>
      </w:r>
      <w:r w:rsidR="0018110C" w:rsidRPr="00CB333D">
        <w:t>помощи за култура и опазване на културното наследство;</w:t>
      </w:r>
    </w:p>
    <w:p w:rsidR="0018110C" w:rsidRPr="00CB333D" w:rsidRDefault="00032A33" w:rsidP="00032A33">
      <w:pPr>
        <w:pStyle w:val="Point1"/>
      </w:pPr>
      <w:r>
        <w:t>к)</w:t>
      </w:r>
      <w:r w:rsidRPr="00032A33">
        <w:tab/>
      </w:r>
      <w:r w:rsidR="00822438" w:rsidRPr="00CB333D">
        <w:t>помощи за спортни и мултифункционални инфраструктури за отдих.</w:t>
      </w:r>
    </w:p>
    <w:p w:rsidR="00042815" w:rsidRPr="00CB333D" w:rsidRDefault="00F8687E" w:rsidP="00E03D90">
      <w:pPr>
        <w:pStyle w:val="NumPar1"/>
      </w:pPr>
      <w:r w:rsidRPr="00CB333D">
        <w:t>Настоящият регламент не се прилага за:</w:t>
      </w:r>
    </w:p>
    <w:p w:rsidR="0042031A" w:rsidRPr="00CB333D" w:rsidRDefault="00032A33" w:rsidP="00032A33">
      <w:pPr>
        <w:pStyle w:val="Point1"/>
      </w:pPr>
      <w:r>
        <w:t>а)</w:t>
      </w:r>
      <w:r w:rsidRPr="00032A33">
        <w:tab/>
      </w:r>
      <w:r w:rsidR="002942B8" w:rsidRPr="00CB333D">
        <w:t>схемите по раздели 1 (с изключение на член 15), 2, 3, 4, 7 (с изключение на член 40) и 10 от настоящия регламент, за които годишните разходите за държавна помощ надвишават 0,01 % от националния брутен вътрешен продукт (БВП) за съответната държава членка</w:t>
      </w:r>
      <w:r w:rsidR="002942B8" w:rsidRPr="00CB333D">
        <w:rPr>
          <w:rStyle w:val="FootnoteReference"/>
        </w:rPr>
        <w:footnoteReference w:id="25"/>
      </w:r>
      <w:r w:rsidR="002942B8" w:rsidRPr="00CB333D">
        <w:t>, доколкото годишните разходите за държавна помощ по въпросн</w:t>
      </w:r>
      <w:r w:rsidR="00F125CD">
        <w:t>ата схема надхвърлят 100 млн.</w:t>
      </w:r>
      <w:r w:rsidR="002942B8" w:rsidRPr="00CB333D">
        <w:t xml:space="preserve"> EUR.</w:t>
      </w:r>
    </w:p>
    <w:p w:rsidR="00042815" w:rsidRPr="00CB333D" w:rsidRDefault="00032A33" w:rsidP="00032A33">
      <w:pPr>
        <w:pStyle w:val="Point1"/>
      </w:pPr>
      <w:r>
        <w:t>б)</w:t>
      </w:r>
      <w:r w:rsidRPr="00032A33">
        <w:tab/>
      </w:r>
      <w:r w:rsidR="00042815" w:rsidRPr="00CB333D">
        <w:t>помощи, свързани с износ към трети държави или държави членки, а именно помощи, които са пряко свързани с изнесените количества, с изграждането и функционирането на дистрибуторска мрежа или с други текущи разходи във връзка с износа;</w:t>
      </w:r>
    </w:p>
    <w:p w:rsidR="00042815" w:rsidRPr="00CB333D" w:rsidRDefault="00032A33" w:rsidP="00032A33">
      <w:pPr>
        <w:pStyle w:val="Point1"/>
      </w:pPr>
      <w:r>
        <w:t>в)</w:t>
      </w:r>
      <w:r w:rsidRPr="00032A33">
        <w:tab/>
      </w:r>
      <w:r w:rsidR="00042815" w:rsidRPr="00CB333D">
        <w:t>помощи, обвързани с условието за използване на местни за сметка на вносни стоки.</w:t>
      </w:r>
    </w:p>
    <w:p w:rsidR="00042815" w:rsidRPr="00CB333D" w:rsidRDefault="00042815" w:rsidP="00E03D90">
      <w:pPr>
        <w:pStyle w:val="NumPar1"/>
      </w:pPr>
      <w:r w:rsidRPr="00CB333D">
        <w:t>Настоящият регламент не се прилага за:</w:t>
      </w:r>
    </w:p>
    <w:p w:rsidR="00042815" w:rsidRPr="00CB333D" w:rsidRDefault="00032A33" w:rsidP="00032A33">
      <w:pPr>
        <w:pStyle w:val="Point1"/>
      </w:pPr>
      <w:r>
        <w:t>а)</w:t>
      </w:r>
      <w:r w:rsidRPr="00032A33">
        <w:tab/>
      </w:r>
      <w:r w:rsidR="00267EE9" w:rsidRPr="00CB333D">
        <w:t>помощите, отпуснати на секторите рибарство и аквакултури, попадащи в приложното поле на Регламент (ЕО) № 104/2000</w:t>
      </w:r>
      <w:r w:rsidR="00267EE9" w:rsidRPr="00CB333D">
        <w:rPr>
          <w:rStyle w:val="FootnoteReference"/>
        </w:rPr>
        <w:footnoteReference w:id="26"/>
      </w:r>
      <w:r w:rsidR="00267EE9" w:rsidRPr="00CB333D">
        <w:t>; в този сектор настоящият регламент обаче се прилага за помощи за обучение, помощи за достъп на МСП до финансиране, помощи за научноизследователска и развойна дейност, помощ за иновации за МСП и помощи за работещи в неравностойно положение и за работещи с увреждания;</w:t>
      </w:r>
    </w:p>
    <w:p w:rsidR="00042815" w:rsidRPr="00CB333D" w:rsidRDefault="00032A33" w:rsidP="00032A33">
      <w:pPr>
        <w:pStyle w:val="Point1"/>
      </w:pPr>
      <w:r>
        <w:t>б)</w:t>
      </w:r>
      <w:r w:rsidRPr="00032A33">
        <w:tab/>
      </w:r>
      <w:r w:rsidR="00267EE9" w:rsidRPr="00CB333D">
        <w:t>помощите, отпуснати за първичното производство на селскостопански продукти; настоящият регламент обаче се прилага в този сектор по отношение на компенсацията на допълнителни разходи, различни от разходите за транспорт в най-отдалечените региони в съответствие с член 16, параграф 2, буква б), помощи за рисково финансиране, помощи за научноизследователска и развойна дейност, помощи за иновации за МСП, помощи за опазване на околната среда, помощи за обучение и помощи за работещи в неравностойно положение или работещи с увреждания;</w:t>
      </w:r>
    </w:p>
    <w:p w:rsidR="00042815" w:rsidRPr="00CB333D" w:rsidRDefault="00032A33" w:rsidP="00032A33">
      <w:pPr>
        <w:pStyle w:val="Point1"/>
      </w:pPr>
      <w:r>
        <w:t>в)</w:t>
      </w:r>
      <w:r w:rsidRPr="00032A33">
        <w:tab/>
      </w:r>
      <w:r w:rsidR="00267EE9" w:rsidRPr="00CB333D">
        <w:t>помощите, отпуснати за преработка и продажба на селскостопански продукти в следните случаи:</w:t>
      </w:r>
    </w:p>
    <w:p w:rsidR="00042815" w:rsidRPr="00CB333D" w:rsidRDefault="00042815" w:rsidP="00042815">
      <w:pPr>
        <w:pStyle w:val="Point2"/>
      </w:pPr>
      <w:r w:rsidRPr="00CB333D">
        <w:t>i)</w:t>
      </w:r>
      <w:r w:rsidRPr="00CB333D">
        <w:tab/>
        <w:t>когато размерът на помощта е определен въз основа на цените или количествата на продуктите, изкупувани от първичните производители или предлагани на пазара от съответните предприятия; или</w:t>
      </w:r>
    </w:p>
    <w:p w:rsidR="00042815" w:rsidRPr="00CB333D" w:rsidRDefault="00042815" w:rsidP="00042815">
      <w:pPr>
        <w:pStyle w:val="Point2"/>
      </w:pPr>
      <w:r w:rsidRPr="00CB333D">
        <w:t>ii)</w:t>
      </w:r>
      <w:r w:rsidRPr="00CB333D">
        <w:tab/>
        <w:t>когато помощта е обвързана със задължението да бъде прехвърлена частично или изцяло на първичните производители;</w:t>
      </w:r>
    </w:p>
    <w:p w:rsidR="009E7911" w:rsidRPr="00CB333D" w:rsidRDefault="00032A33" w:rsidP="00032A33">
      <w:pPr>
        <w:pStyle w:val="Point1"/>
      </w:pPr>
      <w:r>
        <w:t>г)</w:t>
      </w:r>
      <w:r w:rsidRPr="00032A33">
        <w:tab/>
      </w:r>
      <w:r w:rsidR="00042815" w:rsidRPr="00CB333D">
        <w:tab/>
        <w:t>помощите за улесняване на закриването на неконкурентоспособни въглищни мини в съответствие с Решение № 2010/787 на Съвета</w:t>
      </w:r>
      <w:r w:rsidR="00042815" w:rsidRPr="00CB333D">
        <w:rPr>
          <w:rStyle w:val="FootnoteReference"/>
        </w:rPr>
        <w:footnoteReference w:id="27"/>
      </w:r>
      <w:r w:rsidR="00042815" w:rsidRPr="00CB333D">
        <w:t>;</w:t>
      </w:r>
    </w:p>
    <w:p w:rsidR="0062011D" w:rsidRPr="00CB333D" w:rsidRDefault="00032A33" w:rsidP="00032A33">
      <w:pPr>
        <w:pStyle w:val="Point1"/>
      </w:pPr>
      <w:r>
        <w:t>д)</w:t>
      </w:r>
      <w:r w:rsidRPr="00032A33">
        <w:tab/>
      </w:r>
      <w:r w:rsidR="000475E3" w:rsidRPr="00CB333D">
        <w:t>категориите регионална помощ, изброени в член 13.</w:t>
      </w:r>
    </w:p>
    <w:p w:rsidR="00A0308B" w:rsidRPr="00CB333D" w:rsidRDefault="00CC0567" w:rsidP="00337DB3">
      <w:pPr>
        <w:pStyle w:val="Text1"/>
      </w:pPr>
      <w:r w:rsidRPr="00CB333D">
        <w:t xml:space="preserve">Когато едно предприятие упражнява едновременно дейност в секторите, посочени в букви а), б) или в) на алинея първа, и в секторите, които попадат в приложното поле на настоящия регламент, настоящият регламент се прилага само за помощите, отпуснати във връзка с последните сектори или дейности, при условие че държавите членки гарантират посредством подходящи средства, като например отделяне на дейностите или разграничаване на разходите, че дейностите в изключените сектори не се ползват от помощта, отпусната съгласно настоящия регламент. </w:t>
      </w:r>
    </w:p>
    <w:p w:rsidR="00042815" w:rsidRPr="00CB333D" w:rsidRDefault="00042815" w:rsidP="00E03D90">
      <w:pPr>
        <w:pStyle w:val="NumPar1"/>
      </w:pPr>
      <w:r w:rsidRPr="00CB333D">
        <w:t>Настоящият регламент не се прилага за:</w:t>
      </w:r>
    </w:p>
    <w:p w:rsidR="00042815" w:rsidRPr="00CB333D" w:rsidRDefault="00032A33" w:rsidP="00032A33">
      <w:pPr>
        <w:pStyle w:val="Point1"/>
      </w:pPr>
      <w:r>
        <w:t>а)</w:t>
      </w:r>
      <w:r w:rsidRPr="00032A33">
        <w:tab/>
      </w:r>
      <w:r w:rsidR="00042815" w:rsidRPr="00CB333D">
        <w:t>схеми за помощи, които не изключват изрично изплащането на индивидуална помощ в полза на предприятие, срещу което е издадено разпореждане за възстановяване вследствие на предходно решение на Комисията, с което помощта се обявява за неправомерна и несъвместима с вътрешния пазар;</w:t>
      </w:r>
    </w:p>
    <w:p w:rsidR="00042815" w:rsidRPr="00CB333D" w:rsidRDefault="00032A33" w:rsidP="00032A33">
      <w:pPr>
        <w:pStyle w:val="Point1"/>
      </w:pPr>
      <w:r>
        <w:t>б)</w:t>
      </w:r>
      <w:r w:rsidRPr="00032A33">
        <w:tab/>
      </w:r>
      <w:r w:rsidR="00042815" w:rsidRPr="00CB333D">
        <w:t xml:space="preserve">помощи ad hoc в подкрепа на предприятия, описани в буква а); </w:t>
      </w:r>
    </w:p>
    <w:p w:rsidR="00BF4A1B" w:rsidRPr="00CB333D" w:rsidRDefault="00032A33" w:rsidP="00032A33">
      <w:pPr>
        <w:pStyle w:val="Point1"/>
      </w:pPr>
      <w:r>
        <w:t>в)</w:t>
      </w:r>
      <w:r w:rsidRPr="00032A33">
        <w:tab/>
      </w:r>
      <w:r w:rsidR="00042815" w:rsidRPr="00CB333D">
        <w:t>помощи за предприятия в затруднено положение, с изключение на схемите за помощ за отстраняването на щети, причинени от природни бедствия.</w:t>
      </w:r>
    </w:p>
    <w:p w:rsidR="00545D39" w:rsidRPr="00CB333D" w:rsidRDefault="00545D39" w:rsidP="00E03D90">
      <w:pPr>
        <w:pStyle w:val="NumPar1"/>
      </w:pPr>
      <w:r w:rsidRPr="00CB333D">
        <w:t xml:space="preserve">Настоящият регламент не се прилага за мерки за държавна помощ, които поради придружаващите ги условия или поради метода на тяхното финансиране сами по себе си водят до неотделимо нарушение на законодателството на Съюза, по-специално: </w:t>
      </w:r>
    </w:p>
    <w:p w:rsidR="00545D39" w:rsidRPr="00CB333D" w:rsidRDefault="00032A33" w:rsidP="00032A33">
      <w:pPr>
        <w:pStyle w:val="Point1"/>
      </w:pPr>
      <w:r>
        <w:t>а)</w:t>
      </w:r>
      <w:r w:rsidRPr="00032A33">
        <w:tab/>
      </w:r>
      <w:r w:rsidR="00545D39" w:rsidRPr="00CB333D">
        <w:t xml:space="preserve">мерки за помощ, при които отпускането на помощ е свързано със задължението седалището на получателя на помощта да се намира в съответната държава членка или основното му място на установяване да бъде в тази държава членка; </w:t>
      </w:r>
    </w:p>
    <w:p w:rsidR="00545D39" w:rsidRPr="00CB333D" w:rsidRDefault="00032A33" w:rsidP="00032A33">
      <w:pPr>
        <w:pStyle w:val="Point1"/>
      </w:pPr>
      <w:r>
        <w:t>б)</w:t>
      </w:r>
      <w:r w:rsidRPr="00032A33">
        <w:tab/>
      </w:r>
      <w:r w:rsidR="00545D39" w:rsidRPr="00CB333D">
        <w:t>мерки за помощ, при които предоставянето на помощ е свързано със задължението получателят на помощта да използва национално произведени стоки и услуги;</w:t>
      </w:r>
    </w:p>
    <w:p w:rsidR="00595711" w:rsidRPr="00CB333D" w:rsidRDefault="00032A33" w:rsidP="00032A33">
      <w:pPr>
        <w:pStyle w:val="Point1"/>
      </w:pPr>
      <w:r>
        <w:t>в)</w:t>
      </w:r>
      <w:r w:rsidRPr="00032A33">
        <w:tab/>
      </w:r>
      <w:r w:rsidR="00545D39" w:rsidRPr="00CB333D">
        <w:t>мерки за помощ, които ограничават възможността получателят на помощта да се възползва от резултатите от научноизследователска дейност и иновации в други държави членки.</w:t>
      </w:r>
    </w:p>
    <w:p w:rsidR="001E6F3E" w:rsidRPr="00CB333D" w:rsidRDefault="00F05D31" w:rsidP="00F664F1">
      <w:pPr>
        <w:pStyle w:val="Titrearticle"/>
        <w:spacing w:after="360"/>
        <w:rPr>
          <w:b/>
          <w:i w:val="0"/>
        </w:rPr>
      </w:pPr>
      <w:r w:rsidRPr="00CB333D">
        <w:t xml:space="preserve">Член 2 </w:t>
      </w:r>
      <w:r w:rsidRPr="00CB333D">
        <w:br/>
      </w:r>
      <w:r w:rsidRPr="00CB333D">
        <w:rPr>
          <w:b/>
        </w:rPr>
        <w:t>Определения</w:t>
      </w:r>
    </w:p>
    <w:p w:rsidR="00550E52" w:rsidRPr="00CB333D" w:rsidRDefault="001E6F3E" w:rsidP="007A48EB">
      <w:pPr>
        <w:spacing w:before="360"/>
      </w:pPr>
      <w:r w:rsidRPr="00CB333D">
        <w:t>За целите на настоящия регламент се прилагат определенията, посочени в приложение I.</w:t>
      </w:r>
    </w:p>
    <w:p w:rsidR="00042815" w:rsidRPr="00CB333D" w:rsidRDefault="00F05D31" w:rsidP="00C1046C">
      <w:pPr>
        <w:pStyle w:val="Titrearticle"/>
      </w:pPr>
      <w:r w:rsidRPr="00CB333D">
        <w:t>Член 3</w:t>
      </w:r>
      <w:r w:rsidRPr="00CB333D">
        <w:br/>
      </w:r>
      <w:r w:rsidRPr="00CB333D">
        <w:rPr>
          <w:b/>
        </w:rPr>
        <w:t>Условия за освобождаване</w:t>
      </w:r>
    </w:p>
    <w:p w:rsidR="00D24701" w:rsidRPr="00CB333D" w:rsidRDefault="00042815" w:rsidP="000773EE">
      <w:pPr>
        <w:pStyle w:val="NumPar1"/>
        <w:numPr>
          <w:ilvl w:val="0"/>
          <w:numId w:val="58"/>
        </w:numPr>
      </w:pPr>
      <w:r w:rsidRPr="00CB333D">
        <w:t>Схемите за помощ, индивидуалните помощи, отпуснати по схеми за помощ, и помощите ad hoc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при условие че отговарят на всички условия, определени в глава I, както и на съответните условия, посочени в глава ІІІ.</w:t>
      </w:r>
    </w:p>
    <w:p w:rsidR="00042815" w:rsidRPr="00CB333D" w:rsidRDefault="00F05D31" w:rsidP="00C1046C">
      <w:pPr>
        <w:pStyle w:val="Titrearticle"/>
      </w:pPr>
      <w:r w:rsidRPr="00CB333D">
        <w:t>Член 4</w:t>
      </w:r>
      <w:r w:rsidRPr="00CB333D">
        <w:br/>
      </w:r>
      <w:r w:rsidRPr="00CB333D">
        <w:rPr>
          <w:b/>
        </w:rPr>
        <w:t>Прагове за уведомяване</w:t>
      </w:r>
    </w:p>
    <w:p w:rsidR="00C741DE" w:rsidRPr="00CB333D" w:rsidRDefault="00042815" w:rsidP="000773EE">
      <w:pPr>
        <w:pStyle w:val="NumPar1"/>
        <w:numPr>
          <w:ilvl w:val="0"/>
          <w:numId w:val="57"/>
        </w:numPr>
      </w:pPr>
      <w:r w:rsidRPr="00CB333D">
        <w:t>Настоящият регламент не се прилага за помощи, надвишаващи следните прагове:</w:t>
      </w:r>
    </w:p>
    <w:p w:rsidR="00043822" w:rsidRPr="00CB333D" w:rsidRDefault="00032A33" w:rsidP="00032A33">
      <w:pPr>
        <w:pStyle w:val="Point1"/>
      </w:pPr>
      <w:r>
        <w:t>а)</w:t>
      </w:r>
      <w:r w:rsidRPr="00032A33">
        <w:tab/>
      </w:r>
      <w:r w:rsidR="00974A6C" w:rsidRPr="00CB333D">
        <w:t>регионална инвестиционна помощ: „коригираният размер на помощта“, изчислен по механизма, определен в приложение I, точка 35, за инвестиция с допустими разходи от 100 млн. EUR.</w:t>
      </w:r>
    </w:p>
    <w:p w:rsidR="006C6443" w:rsidRPr="00CB333D" w:rsidRDefault="00032A33" w:rsidP="00032A33">
      <w:pPr>
        <w:pStyle w:val="Point1"/>
      </w:pPr>
      <w:r>
        <w:t>б)</w:t>
      </w:r>
      <w:r w:rsidRPr="00032A33">
        <w:tab/>
      </w:r>
      <w:r w:rsidR="00AE57C5" w:rsidRPr="00CB333D">
        <w:t>регионална помощ за градско развитие: според предвиденото в член 16, параграф 3;</w:t>
      </w:r>
    </w:p>
    <w:p w:rsidR="00042815" w:rsidRPr="00CB333D" w:rsidRDefault="00032A33" w:rsidP="00032A33">
      <w:pPr>
        <w:pStyle w:val="Point1"/>
      </w:pPr>
      <w:r>
        <w:t>в)</w:t>
      </w:r>
      <w:r w:rsidRPr="00032A33">
        <w:tab/>
      </w:r>
      <w:r w:rsidR="00042815" w:rsidRPr="00CB333D">
        <w:t>помощ за инвестиции за МСП: 7,5 млн. EUR на предприятие за инвестиционен проект;</w:t>
      </w:r>
    </w:p>
    <w:p w:rsidR="002C3C12" w:rsidRPr="00CB333D" w:rsidRDefault="00032A33" w:rsidP="00032A33">
      <w:pPr>
        <w:pStyle w:val="Point1"/>
      </w:pPr>
      <w:r>
        <w:t>г)</w:t>
      </w:r>
      <w:r w:rsidRPr="00032A33">
        <w:tab/>
      </w:r>
      <w:r w:rsidR="00274830" w:rsidRPr="00CB333D">
        <w:t>помощ за участие на МСП в панаири: 2 млн. EUR на предприятие за проект;</w:t>
      </w:r>
    </w:p>
    <w:p w:rsidR="002C3C12" w:rsidRPr="00CB333D" w:rsidRDefault="00032A33" w:rsidP="00032A33">
      <w:pPr>
        <w:pStyle w:val="Point1"/>
      </w:pPr>
      <w:r>
        <w:t>д)</w:t>
      </w:r>
      <w:r w:rsidRPr="00032A33">
        <w:tab/>
      </w:r>
      <w:r w:rsidR="002C3C12" w:rsidRPr="00CB333D">
        <w:t>помощ за разходи за сътрудничество за МСП, свързани с проекти по цел „Европейско териториално сътрудничество“: 2 млн. EUR на предприятие за проект;</w:t>
      </w:r>
    </w:p>
    <w:p w:rsidR="003D0058" w:rsidRPr="00CB333D" w:rsidRDefault="00032A33" w:rsidP="00032A33">
      <w:pPr>
        <w:pStyle w:val="Point1"/>
      </w:pPr>
      <w:r>
        <w:t>е)</w:t>
      </w:r>
      <w:r w:rsidRPr="00032A33">
        <w:tab/>
      </w:r>
      <w:r w:rsidR="00042815" w:rsidRPr="00CB333D">
        <w:t>помощ за рисково финансиране: според предвиденото в член 20, параграф 9.</w:t>
      </w:r>
      <w:r w:rsidR="00042815" w:rsidRPr="00CB333D">
        <w:tab/>
      </w:r>
    </w:p>
    <w:p w:rsidR="00042815" w:rsidRPr="00CB333D" w:rsidRDefault="00032A33" w:rsidP="00032A33">
      <w:pPr>
        <w:pStyle w:val="Point1"/>
      </w:pPr>
      <w:r>
        <w:t>ж)</w:t>
      </w:r>
      <w:r w:rsidRPr="00032A33">
        <w:tab/>
      </w:r>
      <w:r w:rsidR="00042815" w:rsidRPr="00CB333D">
        <w:t xml:space="preserve">помощ за стартиращи предприятия: според предвиденото в член 21, параграфи 3, 4 и 5. </w:t>
      </w:r>
    </w:p>
    <w:p w:rsidR="00D432C2" w:rsidRPr="00CB333D" w:rsidRDefault="00032A33" w:rsidP="00032A33">
      <w:pPr>
        <w:pStyle w:val="Point1"/>
      </w:pPr>
      <w:r>
        <w:t>з)</w:t>
      </w:r>
      <w:r w:rsidRPr="00032A33">
        <w:tab/>
      </w:r>
      <w:r w:rsidR="00D432C2" w:rsidRPr="00CB333D">
        <w:t>помощ за научноизследователска и развойна дейност:</w:t>
      </w:r>
    </w:p>
    <w:p w:rsidR="00D432C2" w:rsidRPr="00CB333D" w:rsidRDefault="00D432C2" w:rsidP="00D432C2">
      <w:pPr>
        <w:pStyle w:val="Point2"/>
      </w:pPr>
      <w:r w:rsidRPr="00CB333D">
        <w:t>i)</w:t>
      </w:r>
      <w:r w:rsidRPr="00CB333D">
        <w:tab/>
        <w:t>ако проектът е предимно за фундаментални научни изследвания: [40] млн. EUR на предприятие и на проект; такъв е случаят, когато повече от половината от допустимите разходи за проекта са направени във връзка с дейности, попадащи в категорията на фундаменталните научни изследвания;</w:t>
      </w:r>
    </w:p>
    <w:p w:rsidR="00D432C2" w:rsidRPr="00CB333D" w:rsidRDefault="00D432C2" w:rsidP="00D432C2">
      <w:pPr>
        <w:pStyle w:val="Point2"/>
      </w:pPr>
      <w:r w:rsidRPr="00CB333D">
        <w:t>ii)</w:t>
      </w:r>
      <w:r w:rsidRPr="00CB333D">
        <w:tab/>
        <w:t>ако проектът е предимно за индустриални научни изследвания: [20] млн. EUR на предприятие и на проект; такъв е случаят, когато повече от половината от допустимите разходи за проекта са направени във връзка с дейности, попадащи в категорията на индустриалните научни изследвания;</w:t>
      </w:r>
    </w:p>
    <w:p w:rsidR="00D432C2" w:rsidRPr="00CB333D" w:rsidRDefault="00D432C2" w:rsidP="00D432C2">
      <w:pPr>
        <w:pStyle w:val="Point2"/>
      </w:pPr>
      <w:r w:rsidRPr="00CB333D">
        <w:t>iii)</w:t>
      </w:r>
      <w:r w:rsidRPr="00CB333D">
        <w:tab/>
        <w:t>ако проектът е предимно за експериментално развитие: [15] млн. EUR на предприятие и на проект; такъв е случаят, когато повече от половината от допустимите разходи за проекта са направени във връзка с дейности, попадащи в категорията на експерименталното развитие;</w:t>
      </w:r>
    </w:p>
    <w:p w:rsidR="00D432C2" w:rsidRPr="00CB333D" w:rsidRDefault="00D432C2" w:rsidP="00D432C2">
      <w:pPr>
        <w:pStyle w:val="Point2"/>
      </w:pPr>
      <w:r w:rsidRPr="00CB333D">
        <w:t>iv)</w:t>
      </w:r>
      <w:r w:rsidRPr="00CB333D">
        <w:tab/>
        <w:t>за проектите EUREKA или проекти, които се изпълняват от съвместно предприятие, създадено въз основа на член 187 от Договора, сумите, определени в точки i), ii) и iii), се удвояват;</w:t>
      </w:r>
    </w:p>
    <w:p w:rsidR="00D432C2" w:rsidRPr="00CB333D" w:rsidDel="000A2DC5" w:rsidRDefault="00D432C2" w:rsidP="00D432C2">
      <w:pPr>
        <w:pStyle w:val="Point2"/>
      </w:pPr>
      <w:r w:rsidRPr="00CB333D">
        <w:t>v)</w:t>
      </w:r>
      <w:r w:rsidRPr="00CB333D">
        <w:tab/>
        <w:t xml:space="preserve">ако помощта за проекти за научноизследователска и развойна дейност е предоставена под формата на възстановяеми аванси, които, при липсата на общоприета методика за изчисляване на техния брутен еквивалент на безвъзмездна помощ, са изразени като процент от допустимите разходи, и мярката предвижда, че при успех на проекта, определен въз основа на разумна и предпазлива хипотеза, авансовите плащания ще бъдат върнати с лихвен процент, равен поне на сконтовия процент, приложим към момента на предоставяне на помощта, сумите, посочени в точки i), ii) и iii), се увеличават с [50] %; </w:t>
      </w:r>
    </w:p>
    <w:p w:rsidR="00D432C2" w:rsidRPr="00CB333D" w:rsidRDefault="00D432C2" w:rsidP="00D432C2">
      <w:pPr>
        <w:pStyle w:val="Point2"/>
      </w:pPr>
      <w:r w:rsidRPr="00CB333D">
        <w:t>vi)</w:t>
      </w:r>
      <w:r w:rsidRPr="00CB333D">
        <w:tab/>
        <w:t>помощ за подготвително проучване на техническата осъществимост на научноизследователски дейности: [7,5] млн. EUR на проучване;</w:t>
      </w:r>
    </w:p>
    <w:p w:rsidR="00D432C2" w:rsidRPr="00CB333D" w:rsidRDefault="00032A33" w:rsidP="00032A33">
      <w:pPr>
        <w:pStyle w:val="Point1"/>
      </w:pPr>
      <w:r>
        <w:t>и)</w:t>
      </w:r>
      <w:r w:rsidRPr="00032A33">
        <w:tab/>
      </w:r>
      <w:r w:rsidR="002350DF" w:rsidRPr="00CB333D">
        <w:t>инвестиционна помощ за научноизследователски инфраструктури: [20] млн. EUR на инфраструктура;</w:t>
      </w:r>
    </w:p>
    <w:p w:rsidR="00265AF6" w:rsidRPr="00CB333D" w:rsidRDefault="00032A33" w:rsidP="00032A33">
      <w:pPr>
        <w:pStyle w:val="Point1"/>
      </w:pPr>
      <w:r>
        <w:t>й)</w:t>
      </w:r>
      <w:r w:rsidRPr="00032A33">
        <w:tab/>
      </w:r>
      <w:r w:rsidR="00265AF6" w:rsidRPr="00CB333D">
        <w:t xml:space="preserve">помощ за иновативни клъстери: [7,5] млн. EUR на проучване; </w:t>
      </w:r>
    </w:p>
    <w:p w:rsidR="00265AF6" w:rsidRPr="00CB333D" w:rsidRDefault="00032A33" w:rsidP="00032A33">
      <w:pPr>
        <w:pStyle w:val="Point1"/>
      </w:pPr>
      <w:r>
        <w:t>к)</w:t>
      </w:r>
      <w:r w:rsidRPr="00032A33">
        <w:tab/>
      </w:r>
      <w:r w:rsidR="00D432C2" w:rsidRPr="00CB333D">
        <w:t xml:space="preserve">помощ за иновации за МСП: [5] млн. EUR на предприятие и на проект; </w:t>
      </w:r>
    </w:p>
    <w:p w:rsidR="00114230" w:rsidRPr="00CB333D" w:rsidRDefault="00032A33" w:rsidP="00032A33">
      <w:pPr>
        <w:pStyle w:val="Point1"/>
      </w:pPr>
      <w:r>
        <w:t>л)</w:t>
      </w:r>
      <w:r w:rsidRPr="00032A33">
        <w:tab/>
      </w:r>
      <w:r w:rsidR="00274830" w:rsidRPr="00CB333D">
        <w:t>помощи за иновации в областта на процесите и организациите: [7,5] млн. EUR на предприятие и на проект;</w:t>
      </w:r>
    </w:p>
    <w:p w:rsidR="00042815" w:rsidRPr="00CB333D" w:rsidRDefault="00032A33" w:rsidP="00032A33">
      <w:pPr>
        <w:pStyle w:val="Point1"/>
      </w:pPr>
      <w:r>
        <w:t>м)</w:t>
      </w:r>
      <w:r w:rsidRPr="00032A33">
        <w:tab/>
      </w:r>
      <w:r w:rsidR="00042815" w:rsidRPr="00CB333D">
        <w:t>помощ за обучение: 2 млн. EUR на проект за обучение;</w:t>
      </w:r>
    </w:p>
    <w:p w:rsidR="00042815" w:rsidRPr="00CB333D" w:rsidRDefault="00032A33" w:rsidP="00032A33">
      <w:pPr>
        <w:pStyle w:val="Point1"/>
      </w:pPr>
      <w:r>
        <w:t>н)</w:t>
      </w:r>
      <w:r w:rsidRPr="00032A33">
        <w:tab/>
      </w:r>
      <w:r w:rsidR="00042815" w:rsidRPr="00CB333D">
        <w:t>помощ за наемане на работещи в неравностойно положение: 5 млн. EUR на предприятие за година;</w:t>
      </w:r>
    </w:p>
    <w:p w:rsidR="00042815" w:rsidRPr="00CB333D" w:rsidRDefault="00032A33" w:rsidP="00032A33">
      <w:pPr>
        <w:pStyle w:val="Point1"/>
      </w:pPr>
      <w:r>
        <w:t>о)</w:t>
      </w:r>
      <w:r w:rsidRPr="00032A33">
        <w:tab/>
      </w:r>
      <w:r w:rsidR="00042815" w:rsidRPr="00CB333D">
        <w:t>помощ за наемане на работещи с увреждания: 10 млн. EUR на предприятие за година;</w:t>
      </w:r>
    </w:p>
    <w:p w:rsidR="0060390C" w:rsidRPr="00CB333D" w:rsidRDefault="00032A33" w:rsidP="00032A33">
      <w:pPr>
        <w:pStyle w:val="Point1"/>
      </w:pPr>
      <w:r>
        <w:t>п)</w:t>
      </w:r>
      <w:r w:rsidRPr="00032A33">
        <w:tab/>
      </w:r>
      <w:r w:rsidR="00974A6C" w:rsidRPr="00CB333D">
        <w:t>инвестиционни помощи за опазване на околната среда, в това число помощи за проучвания в областта на околната среда с изключение на инвестиционните помощи за проекти за енергийна ефективност, за саниране на замърсени обекти и за енергийноефективно централно отопление и охлаждане: 7,5 млн. EUR на предприятие и на инвестиционен проект;</w:t>
      </w:r>
    </w:p>
    <w:p w:rsidR="002A731D" w:rsidRPr="00CB333D" w:rsidRDefault="00032A33" w:rsidP="00032A33">
      <w:pPr>
        <w:pStyle w:val="Point1"/>
      </w:pPr>
      <w:r>
        <w:t>р)</w:t>
      </w:r>
      <w:r w:rsidRPr="00032A33">
        <w:tab/>
      </w:r>
      <w:r w:rsidR="002A731D" w:rsidRPr="00CB333D">
        <w:t>помощи за проекти за енергийна ефективност: според предвиденото в член 37, параграф 3;</w:t>
      </w:r>
    </w:p>
    <w:p w:rsidR="001E52D0" w:rsidRPr="00CB333D" w:rsidRDefault="00032A33" w:rsidP="00032A33">
      <w:pPr>
        <w:pStyle w:val="Point1"/>
      </w:pPr>
      <w:r>
        <w:t>с)</w:t>
      </w:r>
      <w:r w:rsidRPr="00032A33">
        <w:tab/>
      </w:r>
      <w:r w:rsidR="001E52D0" w:rsidRPr="00CB333D">
        <w:t>инвестиционни помощи за саниране на замърсени обекти и за енергийноефективно централно отопление и охлаждане: 20 млн. EUR на предприятие и на инвестиционен проект;</w:t>
      </w:r>
    </w:p>
    <w:p w:rsidR="00AE57C5" w:rsidRPr="00CB333D" w:rsidRDefault="00032A33" w:rsidP="00032A33">
      <w:pPr>
        <w:pStyle w:val="Point1"/>
      </w:pPr>
      <w:r>
        <w:t>т)</w:t>
      </w:r>
      <w:r w:rsidRPr="00032A33">
        <w:tab/>
      </w:r>
      <w:r w:rsidR="00AE57C5" w:rsidRPr="00CB333D">
        <w:t>оперативна помощ за производството на електроенергия от възобновяеми енергийни източници: когато помощта е предоставена за съоръжения за производство на електроенергия от възобновяеми източници в обекти, където произтичащият от помощта производствен капацитет за електроенергия от възобновяеми източници надвишава 125 MW;</w:t>
      </w:r>
    </w:p>
    <w:p w:rsidR="006F4CA4" w:rsidRPr="00CB333D" w:rsidRDefault="00032A33" w:rsidP="00032A33">
      <w:pPr>
        <w:pStyle w:val="Point1"/>
      </w:pPr>
      <w:r>
        <w:t>у)</w:t>
      </w:r>
      <w:r w:rsidRPr="00032A33">
        <w:tab/>
      </w:r>
      <w:r w:rsidR="006F4CA4" w:rsidRPr="00CB333D">
        <w:t xml:space="preserve">помощи за инвестиции в опазването на културата и културното наследство: 100 млн. EUR на проект; оперативни помощи за инвестиции в опазването на културата и културното наследство: 50 млн. EUR на предприятие за година; </w:t>
      </w:r>
    </w:p>
    <w:p w:rsidR="003F1C10" w:rsidRPr="00CB333D" w:rsidRDefault="00032A33" w:rsidP="00032A33">
      <w:pPr>
        <w:pStyle w:val="Point1"/>
      </w:pPr>
      <w:r>
        <w:t>ф)</w:t>
      </w:r>
      <w:r w:rsidRPr="00032A33">
        <w:tab/>
      </w:r>
      <w:r w:rsidR="003F1C10" w:rsidRPr="00CB333D">
        <w:t>схеми за помощ за аудио-визуални творби: 20 млн. EUR на схема годишно;</w:t>
      </w:r>
    </w:p>
    <w:p w:rsidR="003F1C10" w:rsidRPr="00CB333D" w:rsidRDefault="00032A33" w:rsidP="00032A33">
      <w:pPr>
        <w:pStyle w:val="Point1"/>
      </w:pPr>
      <w:r>
        <w:t>х)</w:t>
      </w:r>
      <w:r w:rsidRPr="00032A33">
        <w:tab/>
      </w:r>
      <w:r w:rsidR="00A843E4" w:rsidRPr="00CB333D">
        <w:t>помощи за спорт и мултифункционални инфраструктури: [15] млн. EUR или общи разходи, надвишаващи 50 млн. EUR за проект;</w:t>
      </w:r>
    </w:p>
    <w:p w:rsidR="00D75890" w:rsidRPr="00CB333D" w:rsidRDefault="00032A33" w:rsidP="00032A33">
      <w:pPr>
        <w:pStyle w:val="Point1"/>
      </w:pPr>
      <w:r>
        <w:t>ц)</w:t>
      </w:r>
      <w:r w:rsidRPr="00032A33">
        <w:tab/>
      </w:r>
      <w:r w:rsidR="00D75890" w:rsidRPr="00CB333D">
        <w:t>помощи за широколентови инфраструктури: 70 млн. EUR на предприятие и на проект.</w:t>
      </w:r>
    </w:p>
    <w:p w:rsidR="00042815" w:rsidRPr="00CB333D" w:rsidRDefault="00F05D31" w:rsidP="003F74D7">
      <w:pPr>
        <w:pStyle w:val="Titrearticle"/>
        <w:rPr>
          <w:b/>
        </w:rPr>
      </w:pPr>
      <w:r w:rsidRPr="00CB333D">
        <w:t>Член 5</w:t>
      </w:r>
      <w:r w:rsidRPr="00CB333D">
        <w:br/>
        <w:t>Прозрачност на помощта</w:t>
      </w:r>
    </w:p>
    <w:p w:rsidR="00042815" w:rsidRPr="00CB333D" w:rsidRDefault="00042815" w:rsidP="000773EE">
      <w:pPr>
        <w:pStyle w:val="NumPar1"/>
        <w:numPr>
          <w:ilvl w:val="0"/>
          <w:numId w:val="56"/>
        </w:numPr>
      </w:pPr>
      <w:r w:rsidRPr="00CB333D">
        <w:t>Настоящият регламент се прилага само за прозрачни помощи, т.е. за които е възможно да се изчисли точно и предварително техният брутен еквивалент на безвъзмездна помощ, без да е необходимо да се прави оценка на риска.</w:t>
      </w:r>
    </w:p>
    <w:p w:rsidR="00042815" w:rsidRPr="00CB333D" w:rsidRDefault="004170A9" w:rsidP="000773EE">
      <w:pPr>
        <w:pStyle w:val="NumPar1"/>
        <w:numPr>
          <w:ilvl w:val="0"/>
          <w:numId w:val="9"/>
        </w:numPr>
      </w:pPr>
      <w:r w:rsidRPr="00CB333D">
        <w:t>Следните категории помощи се приемат за прозрачни:</w:t>
      </w:r>
    </w:p>
    <w:p w:rsidR="00042815" w:rsidRPr="00CB333D" w:rsidRDefault="000B025B" w:rsidP="000B025B">
      <w:pPr>
        <w:pStyle w:val="Point1"/>
      </w:pPr>
      <w:r>
        <w:t>а)</w:t>
      </w:r>
      <w:r w:rsidRPr="000B025B">
        <w:tab/>
      </w:r>
      <w:r w:rsidR="00042815" w:rsidRPr="00CB333D">
        <w:t>безвъзмездни средства и лихвени субсидии;</w:t>
      </w:r>
    </w:p>
    <w:p w:rsidR="00042815" w:rsidRPr="00CB333D" w:rsidRDefault="000B025B" w:rsidP="000B025B">
      <w:pPr>
        <w:pStyle w:val="Point1"/>
      </w:pPr>
      <w:r>
        <w:t>б)</w:t>
      </w:r>
      <w:r w:rsidRPr="000B025B">
        <w:tab/>
      </w:r>
      <w:r w:rsidR="00042815" w:rsidRPr="00CB333D">
        <w:t xml:space="preserve">помощи под формата на заеми, когато брутният еквивалент на безвъзмездна помощ е изчислен въз основа на референтния процент към момента на предоставяне на безвъзмездните средства; </w:t>
      </w:r>
    </w:p>
    <w:p w:rsidR="00042815" w:rsidRPr="00CB333D" w:rsidRDefault="000B025B" w:rsidP="000B025B">
      <w:pPr>
        <w:pStyle w:val="Point1"/>
      </w:pPr>
      <w:r>
        <w:t>в)</w:t>
      </w:r>
      <w:r w:rsidRPr="000B025B">
        <w:tab/>
      </w:r>
      <w:r w:rsidR="00042815" w:rsidRPr="00CB333D">
        <w:t xml:space="preserve">помощи под формата на гаранции: </w:t>
      </w:r>
    </w:p>
    <w:p w:rsidR="0029658B" w:rsidRPr="00CB333D" w:rsidRDefault="00042815" w:rsidP="00C1046C">
      <w:pPr>
        <w:pStyle w:val="Point2"/>
      </w:pPr>
      <w:r w:rsidRPr="00CB333D">
        <w:t>i)</w:t>
      </w:r>
      <w:r w:rsidRPr="00CB333D">
        <w:tab/>
        <w:t xml:space="preserve">когато брутният еквивалент на безвъзмездна помощ е изчислен въз основа на годишните минимални премии, посочени в известие на Комисията; или </w:t>
      </w:r>
    </w:p>
    <w:p w:rsidR="00042815" w:rsidRPr="00CB333D" w:rsidRDefault="00042815" w:rsidP="004B552B">
      <w:pPr>
        <w:pStyle w:val="Point2"/>
      </w:pPr>
      <w:r w:rsidRPr="00CB333D">
        <w:t>ii)</w:t>
      </w:r>
      <w:r w:rsidRPr="00CB333D">
        <w:tab/>
        <w:t>когато преди помощта да бъде въведена в действие, методиката за изчисляване на брутния еквивалент на безвъзмездна помощ на гаранцията е одобрена въз основа на Известието на Комисията относно прилагането на членове 87 и 88 от Договора за ЕО по отношение на държавните помощи под формата на гаранции (ОВ C 155, 20.6.2008 г., стр. 10) или въз основа на последващо известие, след като Комисията е получила уведомление за нея в съответствие с регламент, приет от Комисията в областта на държавните помощи, приложим към въпросния момент, и в одобрената методика изрично се обръща внимание на вида на гаранцията и на сделката, за която е издадена, в контекста на прилагането на настоящия регламент;</w:t>
      </w:r>
    </w:p>
    <w:p w:rsidR="00042815" w:rsidRPr="00CB333D" w:rsidRDefault="000B025B" w:rsidP="000B025B">
      <w:pPr>
        <w:pStyle w:val="Point1"/>
      </w:pPr>
      <w:r>
        <w:t>г)</w:t>
      </w:r>
      <w:r w:rsidRPr="000B025B">
        <w:tab/>
      </w:r>
      <w:r w:rsidR="00042815" w:rsidRPr="00CB333D">
        <w:t>помощи под формата на данъчни предимства, когато в мярката е предвиден таван, с който се гарантира, че приложимият праг няма да бъде надхвърлен;</w:t>
      </w:r>
    </w:p>
    <w:p w:rsidR="00E92727" w:rsidRPr="00CB333D" w:rsidRDefault="000B025B" w:rsidP="000B025B">
      <w:pPr>
        <w:pStyle w:val="Point1"/>
      </w:pPr>
      <w:r>
        <w:t>д)</w:t>
      </w:r>
      <w:r w:rsidRPr="000B025B">
        <w:tab/>
      </w:r>
      <w:r w:rsidR="00042815" w:rsidRPr="00CB333D">
        <w:t>помощи, състоящи се от мерки за рисково финансиране, ако са изпълнени условията, определени в член 20;</w:t>
      </w:r>
    </w:p>
    <w:p w:rsidR="00C367AA" w:rsidRPr="00CB333D" w:rsidRDefault="000B025B" w:rsidP="000B025B">
      <w:pPr>
        <w:pStyle w:val="Point1"/>
      </w:pPr>
      <w:r>
        <w:t>е)</w:t>
      </w:r>
      <w:r w:rsidRPr="000B025B">
        <w:tab/>
      </w:r>
      <w:r w:rsidR="00C367AA" w:rsidRPr="00CB333D">
        <w:t>помощи за стартиращи предприятия, ако са изпълнени условията, определени в член 21;</w:t>
      </w:r>
    </w:p>
    <w:p w:rsidR="00A21D76" w:rsidRPr="00CB333D" w:rsidRDefault="000B025B" w:rsidP="000B025B">
      <w:pPr>
        <w:pStyle w:val="Point1"/>
      </w:pPr>
      <w:r>
        <w:t>ж)</w:t>
      </w:r>
      <w:r w:rsidRPr="000B025B">
        <w:tab/>
      </w:r>
      <w:r w:rsidR="00E92727" w:rsidRPr="00CB333D">
        <w:t>помощи под формата на възстановяеми аванси, ако общият номинален размер на възстановяемия аванс не надхвърля приложимите прагове по настоящия регламент или ако след като Комисията е била уведомена за методологията за изчисляване на брутния еквивалент на безвъзмездна помощ на възстановимия аванс, тя е одобрила тази методология преди изпълнението на мярката.</w:t>
      </w:r>
    </w:p>
    <w:p w:rsidR="00042815" w:rsidRPr="00CB333D" w:rsidRDefault="00F05D31" w:rsidP="00C1046C">
      <w:pPr>
        <w:pStyle w:val="Titrearticle"/>
        <w:rPr>
          <w:b/>
        </w:rPr>
      </w:pPr>
      <w:r w:rsidRPr="00CB333D">
        <w:t>Член 6</w:t>
      </w:r>
      <w:r w:rsidRPr="00CB333D">
        <w:br/>
      </w:r>
      <w:r w:rsidRPr="00CB333D">
        <w:rPr>
          <w:b/>
        </w:rPr>
        <w:t>Стимулиращ ефект</w:t>
      </w:r>
    </w:p>
    <w:p w:rsidR="00042815" w:rsidRPr="00CB333D" w:rsidRDefault="00042815" w:rsidP="000773EE">
      <w:pPr>
        <w:pStyle w:val="NumPar1"/>
        <w:numPr>
          <w:ilvl w:val="0"/>
          <w:numId w:val="55"/>
        </w:numPr>
      </w:pPr>
      <w:r w:rsidRPr="00CB333D">
        <w:t xml:space="preserve">Настоящият регламент се прилага единствено за помощи, които имат стимулиращ ефект. </w:t>
      </w:r>
    </w:p>
    <w:p w:rsidR="009551F4" w:rsidRPr="00CB333D" w:rsidRDefault="00042815" w:rsidP="000773EE">
      <w:pPr>
        <w:pStyle w:val="NumPar1"/>
        <w:numPr>
          <w:ilvl w:val="0"/>
          <w:numId w:val="9"/>
        </w:numPr>
      </w:pPr>
      <w:r w:rsidRPr="00CB333D">
        <w:t>Приема се, че една помощ има стимулиращ ефект, ако бенефициерът е подал писмено заявление за помощ до съответната държава членка преди работата по проекта или дейността да е започнала. Заявлението за помощта съдържа поне следната информация:</w:t>
      </w:r>
    </w:p>
    <w:p w:rsidR="009551F4" w:rsidRPr="00CB333D" w:rsidRDefault="00706AAA" w:rsidP="00706AAA">
      <w:pPr>
        <w:pStyle w:val="Point1"/>
      </w:pPr>
      <w:r>
        <w:t>а)</w:t>
      </w:r>
      <w:r w:rsidRPr="00706AAA">
        <w:tab/>
      </w:r>
      <w:r w:rsidR="009551F4" w:rsidRPr="00CB333D">
        <w:t>наименованието и големината на предприятието,</w:t>
      </w:r>
    </w:p>
    <w:p w:rsidR="009551F4" w:rsidRPr="00CB333D" w:rsidRDefault="00706AAA" w:rsidP="00706AAA">
      <w:pPr>
        <w:pStyle w:val="Point1"/>
      </w:pPr>
      <w:r>
        <w:t>б)</w:t>
      </w:r>
      <w:r w:rsidRPr="00706AAA">
        <w:tab/>
      </w:r>
      <w:r w:rsidR="009551F4" w:rsidRPr="00CB333D">
        <w:t>описание на проекта, включително неговата начална и крайна дата,</w:t>
      </w:r>
    </w:p>
    <w:p w:rsidR="009551F4" w:rsidRPr="00CB333D" w:rsidRDefault="00706AAA" w:rsidP="00706AAA">
      <w:pPr>
        <w:pStyle w:val="Point1"/>
      </w:pPr>
      <w:r>
        <w:t>в)</w:t>
      </w:r>
      <w:r w:rsidRPr="00706AAA">
        <w:tab/>
      </w:r>
      <w:r w:rsidR="009551F4" w:rsidRPr="00CB333D">
        <w:t>местонахождение на проекта,</w:t>
      </w:r>
    </w:p>
    <w:p w:rsidR="009551F4" w:rsidRPr="00CB333D" w:rsidRDefault="00706AAA" w:rsidP="00706AAA">
      <w:pPr>
        <w:pStyle w:val="Point1"/>
      </w:pPr>
      <w:r>
        <w:t>г)</w:t>
      </w:r>
      <w:r w:rsidRPr="00706AAA">
        <w:tab/>
      </w:r>
      <w:r w:rsidR="009551F4" w:rsidRPr="00CB333D">
        <w:t>списък с допустимите разходи,</w:t>
      </w:r>
    </w:p>
    <w:p w:rsidR="009551F4" w:rsidRPr="00CB333D" w:rsidRDefault="00706AAA" w:rsidP="00706AAA">
      <w:pPr>
        <w:pStyle w:val="Point1"/>
      </w:pPr>
      <w:r>
        <w:t>д)</w:t>
      </w:r>
      <w:r w:rsidRPr="00706AAA">
        <w:tab/>
      </w:r>
      <w:r w:rsidR="00652D3B" w:rsidRPr="00CB333D">
        <w:t>интензитет на помощ.</w:t>
      </w:r>
    </w:p>
    <w:p w:rsidR="00792DA3" w:rsidRPr="00CB333D" w:rsidRDefault="009551F4" w:rsidP="000773EE">
      <w:pPr>
        <w:pStyle w:val="NumPar1"/>
        <w:numPr>
          <w:ilvl w:val="0"/>
          <w:numId w:val="9"/>
        </w:numPr>
      </w:pPr>
      <w:r w:rsidRPr="00CB333D">
        <w:t>Приема се, че помощите за големи предприятия имат стимулиращ ефект, когато освен че изпълняват условието, определено в параграф 2, преди да предостави съответната индивидуална помощ държавата членка се е уверила, че от подготвената от получателя документация личи, че са спазени един или повече от следните критерии:</w:t>
      </w:r>
    </w:p>
    <w:p w:rsidR="008C6AA3" w:rsidRPr="00CB333D" w:rsidRDefault="00706AAA" w:rsidP="00706AAA">
      <w:pPr>
        <w:pStyle w:val="Point1"/>
      </w:pPr>
      <w:r>
        <w:t>а)</w:t>
      </w:r>
      <w:r w:rsidRPr="00706AAA">
        <w:tab/>
      </w:r>
      <w:r w:rsidR="008C6AA3" w:rsidRPr="00CB333D">
        <w:t>в случай на регионални инвестиционни помощи: че без помощта проектът не би бил осъществен в съответния регион или не би бил достатъчно рентабилен за бенефициера в съответния регион.</w:t>
      </w:r>
    </w:p>
    <w:p w:rsidR="008C6AA3" w:rsidRPr="00CB333D" w:rsidRDefault="00706AAA" w:rsidP="00706AAA">
      <w:pPr>
        <w:pStyle w:val="Point1"/>
      </w:pPr>
      <w:r>
        <w:t>б)</w:t>
      </w:r>
      <w:r w:rsidRPr="00706AAA">
        <w:tab/>
      </w:r>
      <w:r w:rsidR="008C6AA3" w:rsidRPr="00CB333D">
        <w:t>във всички други случаи:</w:t>
      </w:r>
    </w:p>
    <w:p w:rsidR="00792DA3" w:rsidRPr="00CB333D" w:rsidRDefault="00706AAA" w:rsidP="00706AAA">
      <w:pPr>
        <w:pStyle w:val="Point2"/>
      </w:pPr>
      <w:r>
        <w:t>а)</w:t>
      </w:r>
      <w:r w:rsidRPr="00706AAA">
        <w:tab/>
      </w:r>
      <w:r w:rsidR="00792DA3" w:rsidRPr="00CB333D">
        <w:t>съществено увеличаване на обхвата на проекта/дейността в резултат на помощта;</w:t>
      </w:r>
    </w:p>
    <w:p w:rsidR="00792DA3" w:rsidRPr="00CB333D" w:rsidRDefault="00706AAA" w:rsidP="00706AAA">
      <w:pPr>
        <w:pStyle w:val="Point2"/>
      </w:pPr>
      <w:r>
        <w:t>б)</w:t>
      </w:r>
      <w:r w:rsidRPr="00706AAA">
        <w:tab/>
      </w:r>
      <w:r w:rsidR="00792DA3" w:rsidRPr="00CB333D">
        <w:t>съществено увеличаване на общата сума, изразходвана от получателя за проекта/дейността в резултат на помощта;</w:t>
      </w:r>
    </w:p>
    <w:p w:rsidR="00792DA3" w:rsidRPr="00CB333D" w:rsidRDefault="00706AAA" w:rsidP="00706AAA">
      <w:pPr>
        <w:pStyle w:val="Point2"/>
      </w:pPr>
      <w:r>
        <w:t>в)</w:t>
      </w:r>
      <w:r w:rsidRPr="00706AAA">
        <w:tab/>
      </w:r>
      <w:r w:rsidR="00792DA3" w:rsidRPr="00CB333D">
        <w:t>съществено увеличаване на скоростта на изпълнение на съответния проект/дейност;</w:t>
      </w:r>
    </w:p>
    <w:p w:rsidR="00042815" w:rsidRPr="00CB333D" w:rsidRDefault="00A31B65" w:rsidP="000773EE">
      <w:pPr>
        <w:pStyle w:val="NumPar1"/>
        <w:numPr>
          <w:ilvl w:val="0"/>
          <w:numId w:val="9"/>
        </w:numPr>
      </w:pPr>
      <w:r w:rsidRPr="00CB333D">
        <w:t>Чрез дерогация от параграфи 2 и 3 се приема, че мерките под формата на данъчни предимства имат стимулиращ ефект, ако са изпълнени следните условия:</w:t>
      </w:r>
    </w:p>
    <w:p w:rsidR="00042815" w:rsidRPr="00CB333D" w:rsidRDefault="00706AAA" w:rsidP="00706AAA">
      <w:pPr>
        <w:pStyle w:val="Point1"/>
      </w:pPr>
      <w:r>
        <w:t>а)</w:t>
      </w:r>
      <w:r w:rsidRPr="00706AAA">
        <w:tab/>
      </w:r>
      <w:r w:rsidR="00042815" w:rsidRPr="00CB333D">
        <w:t>мярката под формата на данъчни предимства предвижда право на помощ в съответствие с обективни критерии и без друга преценка по собствено усмотрение от страна на държавата членка;</w:t>
      </w:r>
    </w:p>
    <w:p w:rsidR="00A74134" w:rsidRPr="00CB333D" w:rsidRDefault="00706AAA" w:rsidP="00706AAA">
      <w:pPr>
        <w:pStyle w:val="Point1"/>
      </w:pPr>
      <w:r>
        <w:t>б)</w:t>
      </w:r>
      <w:r w:rsidRPr="00706AAA">
        <w:tab/>
      </w:r>
      <w:r w:rsidR="00042815" w:rsidRPr="00CB333D">
        <w:t>мярката под формата на данъчни предимства е приета и е била в сила преди започване на работите по подпомагания проект или подпомаганата дейност. Това изискване обаче не се прилага в случай на последващи фискални схеми, при условие че дейността вече е била обхваната от предходни схеми под формата на данъчни предимства.</w:t>
      </w:r>
    </w:p>
    <w:p w:rsidR="00042815" w:rsidRPr="00CB333D" w:rsidRDefault="00A31B65" w:rsidP="000773EE">
      <w:pPr>
        <w:pStyle w:val="NumPar1"/>
        <w:numPr>
          <w:ilvl w:val="0"/>
          <w:numId w:val="9"/>
        </w:numPr>
      </w:pPr>
      <w:r w:rsidRPr="00CB333D">
        <w:t>Чрез дерогация от параграфи 2—4 се приема, че следните категории помощи имат или се допуска, че имат стимулиращ ефект, ако са изпълнени условията, определени в съответните специфични разпоредби в глава III:</w:t>
      </w:r>
    </w:p>
    <w:p w:rsidR="002840EF" w:rsidRPr="00CB333D" w:rsidRDefault="00706AAA" w:rsidP="00706AAA">
      <w:pPr>
        <w:pStyle w:val="Point1"/>
      </w:pPr>
      <w:r>
        <w:t>а)</w:t>
      </w:r>
      <w:r w:rsidRPr="00706AAA">
        <w:tab/>
      </w:r>
      <w:r w:rsidR="002840EF" w:rsidRPr="00CB333D">
        <w:t>регионални оперативни помощи в съответствие с член 15;</w:t>
      </w:r>
    </w:p>
    <w:p w:rsidR="002840EF" w:rsidRPr="00CB333D" w:rsidRDefault="00706AAA" w:rsidP="00706AAA">
      <w:pPr>
        <w:pStyle w:val="Point1"/>
      </w:pPr>
      <w:r>
        <w:t>б)</w:t>
      </w:r>
      <w:r w:rsidRPr="00706AAA">
        <w:tab/>
      </w:r>
      <w:r w:rsidR="002840EF" w:rsidRPr="00CB333D">
        <w:t>помощ за достъп на МСП до финансиране, в съответствие с членове 20 и 21;</w:t>
      </w:r>
    </w:p>
    <w:p w:rsidR="00042815" w:rsidRPr="00CB333D" w:rsidRDefault="00706AAA" w:rsidP="00706AAA">
      <w:pPr>
        <w:pStyle w:val="Point1"/>
      </w:pPr>
      <w:r>
        <w:t>в)</w:t>
      </w:r>
      <w:r w:rsidRPr="00706AAA">
        <w:tab/>
      </w:r>
      <w:r w:rsidR="00042815" w:rsidRPr="00CB333D">
        <w:t xml:space="preserve">помощи за наемане на работещи в неравностойно положение под формата на субсидии за заплати и помощи за наемане на работещи с увреждания под формата на субсидии за заплати в съответствие с членове 31 и 32; </w:t>
      </w:r>
    </w:p>
    <w:p w:rsidR="00042815" w:rsidRPr="00CB333D" w:rsidRDefault="00706AAA" w:rsidP="00706AAA">
      <w:pPr>
        <w:pStyle w:val="Point1"/>
      </w:pPr>
      <w:r>
        <w:t>г)</w:t>
      </w:r>
      <w:r w:rsidRPr="00706AAA">
        <w:tab/>
      </w:r>
      <w:r w:rsidR="00042815" w:rsidRPr="00CB333D">
        <w:t xml:space="preserve">помощи за компенсиране на допълнителните разходи, свързани с наемането на работещи с увреждания в съответствие с член 33; </w:t>
      </w:r>
    </w:p>
    <w:p w:rsidR="009D3146" w:rsidRPr="00CB333D" w:rsidRDefault="00706AAA" w:rsidP="00706AAA">
      <w:pPr>
        <w:pStyle w:val="Point1"/>
      </w:pPr>
      <w:r>
        <w:t>д)</w:t>
      </w:r>
      <w:r w:rsidRPr="00706AAA">
        <w:tab/>
      </w:r>
      <w:r w:rsidR="009D3146" w:rsidRPr="00CB333D">
        <w:t>помощи под формата на намаления на данъците за околната среда по Директива 2003/96/ЕО в съответствие с член 40;</w:t>
      </w:r>
    </w:p>
    <w:p w:rsidR="007B13E5" w:rsidRPr="00CB333D" w:rsidRDefault="00706AAA" w:rsidP="00706AAA">
      <w:pPr>
        <w:pStyle w:val="Point1"/>
      </w:pPr>
      <w:r>
        <w:t>е)</w:t>
      </w:r>
      <w:r w:rsidRPr="00706AAA">
        <w:tab/>
      </w:r>
      <w:r w:rsidR="007B13E5" w:rsidRPr="00CB333D">
        <w:t>помощи за отстраняването на щети, причинени от някои природни бедствия в съответствие с член 44;</w:t>
      </w:r>
    </w:p>
    <w:p w:rsidR="002840EF" w:rsidRPr="00CB333D" w:rsidRDefault="00706AAA" w:rsidP="00706AAA">
      <w:pPr>
        <w:pStyle w:val="Point1"/>
      </w:pPr>
      <w:r>
        <w:t>ж)</w:t>
      </w:r>
      <w:r w:rsidRPr="00706AAA">
        <w:tab/>
      </w:r>
      <w:r w:rsidR="002840EF" w:rsidRPr="00CB333D">
        <w:t>социални помощи за транспорт за живеещите в отдалечени региони в съответствие с член 45;</w:t>
      </w:r>
    </w:p>
    <w:p w:rsidR="00042815" w:rsidRPr="00CB333D" w:rsidRDefault="00706AAA" w:rsidP="00706AAA">
      <w:pPr>
        <w:pStyle w:val="Point1"/>
      </w:pPr>
      <w:r>
        <w:t>з)</w:t>
      </w:r>
      <w:r w:rsidRPr="00706AAA">
        <w:tab/>
      </w:r>
      <w:r w:rsidR="007B13E5" w:rsidRPr="00CB333D">
        <w:t>помощи за достъп на МСП до финансиране в съответствие с член 47.</w:t>
      </w:r>
    </w:p>
    <w:p w:rsidR="00042815" w:rsidRPr="00CB333D" w:rsidRDefault="00F05D31" w:rsidP="00C1046C">
      <w:pPr>
        <w:pStyle w:val="Titrearticle"/>
        <w:rPr>
          <w:b/>
        </w:rPr>
      </w:pPr>
      <w:r w:rsidRPr="00CB333D">
        <w:t>Член 7</w:t>
      </w:r>
      <w:r w:rsidRPr="00CB333D">
        <w:br/>
      </w:r>
      <w:r w:rsidRPr="00F75249">
        <w:rPr>
          <w:b/>
        </w:rPr>
        <w:t>Интензитет на помощта и допустими разходи</w:t>
      </w:r>
    </w:p>
    <w:p w:rsidR="00C741DE" w:rsidRPr="00CB333D" w:rsidRDefault="00042815" w:rsidP="000773EE">
      <w:pPr>
        <w:pStyle w:val="NumPar1"/>
        <w:numPr>
          <w:ilvl w:val="0"/>
          <w:numId w:val="54"/>
        </w:numPr>
      </w:pPr>
      <w:r w:rsidRPr="00CB333D">
        <w:t>За да се изчисли интензитетът на помощ и допустимите разходи, всички използвани данни се вземат преди приспадането на данъци и други такси. Допустимите разходи се подкрепят с документни доказателства, които са ясни, конкретни и актуални.</w:t>
      </w:r>
    </w:p>
    <w:p w:rsidR="00C741DE" w:rsidRPr="00CB333D" w:rsidRDefault="00042815" w:rsidP="00E03D90">
      <w:pPr>
        <w:pStyle w:val="NumPar1"/>
      </w:pPr>
      <w:r w:rsidRPr="00CB333D">
        <w:t xml:space="preserve">Когато помощта не се предоставя като безвъзмездни средства, а под друга форма, размерът на помощта е брутният еквивалент на безвъзмездна помощ. </w:t>
      </w:r>
    </w:p>
    <w:p w:rsidR="00C741DE" w:rsidRPr="00CB333D" w:rsidRDefault="00042815" w:rsidP="00E03D90">
      <w:pPr>
        <w:pStyle w:val="NumPar1"/>
      </w:pPr>
      <w:r w:rsidRPr="00CB333D">
        <w:t>Помощ, предоставяна на няколко части, се сконтира към размера ѝ в момента на предоставяне. Допустимите разходи се сконтират до тяхната стойност към момента на предоставянето на помощта. Лихвеният процент, който се използва за сконтиране, е сконтовият процент, приложим към момента на предоставянето на помощта.</w:t>
      </w:r>
    </w:p>
    <w:p w:rsidR="00C741DE" w:rsidRPr="00CB333D" w:rsidRDefault="00974A6C" w:rsidP="00E03D90">
      <w:pPr>
        <w:pStyle w:val="NumPar1"/>
      </w:pPr>
      <w:r w:rsidRPr="00CB333D">
        <w:t>Когато помощта е предоставена чрез данъчни предимства, сконтирането на отделните траншове помощ се извършва въз основа на сконтовите проценти, приложими към датата, на която данъчното предимство влиза в сила.</w:t>
      </w:r>
    </w:p>
    <w:p w:rsidR="00C741DE" w:rsidRPr="00CB333D" w:rsidRDefault="005D5B61" w:rsidP="00E03D90">
      <w:pPr>
        <w:pStyle w:val="NumPar1"/>
      </w:pPr>
      <w:r w:rsidRPr="00CB333D">
        <w:t xml:space="preserve">Когато помощта е предоставена под формата на възстановяеми аванси, които, при отсъствието на общоприета методология за изчисляване на техния брутен еквивалент на безвъзмездна помощ, са изразени като процент от допустимите разходи, и мярката предвижда, че при успешен резултат от проекта, определен въз основа на разумна и предпазлива хипотеза, авансовите плащания ще бъдат върнати с лихвен процент, равен поне на сконтовия процент, приложим към момента на предоставяне на помощта, максималните интензитети на помощта, посочени в глава III, могат да бъдат увеличени с [10] процентни пункта. </w:t>
      </w:r>
    </w:p>
    <w:p w:rsidR="00A34AE5" w:rsidRPr="00CB333D" w:rsidRDefault="00111EF6" w:rsidP="00E03D90">
      <w:pPr>
        <w:pStyle w:val="NumPar1"/>
      </w:pPr>
      <w:r w:rsidRPr="00CB333D">
        <w:t>В случаите, когато регионалната помощ се предоставя под формата на възстановяеми аванси, максималните интензитети на помощта, определени в картата за регионални помощи, които са в сила към момента на предоставянето на помощта, не могат да бъдат увеличени.</w:t>
      </w:r>
    </w:p>
    <w:p w:rsidR="00FF26B8" w:rsidRPr="00CB333D" w:rsidRDefault="00F05D31" w:rsidP="00FF26B8">
      <w:pPr>
        <w:pStyle w:val="Titrearticle"/>
      </w:pPr>
      <w:r w:rsidRPr="00CB333D">
        <w:t xml:space="preserve">Член 8 </w:t>
      </w:r>
      <w:r w:rsidRPr="00CB333D">
        <w:br/>
      </w:r>
      <w:r w:rsidRPr="00CB333D">
        <w:rPr>
          <w:b/>
        </w:rPr>
        <w:t>Натрупване</w:t>
      </w:r>
    </w:p>
    <w:p w:rsidR="00F46E26" w:rsidRPr="00CB333D" w:rsidRDefault="00FF26B8" w:rsidP="000773EE">
      <w:pPr>
        <w:pStyle w:val="NumPar1"/>
        <w:numPr>
          <w:ilvl w:val="0"/>
          <w:numId w:val="53"/>
        </w:numPr>
      </w:pPr>
      <w:r w:rsidRPr="00CB333D">
        <w:t xml:space="preserve">При установяването на това дали са спазени индивидуалните прагове за уведомяване, определени в член 4, и максималните интензитети на помощ, определени в глава III, следва да се вземе предвид общата сума на  държавната помощ в полза на подпомаганата дейност или проект. </w:t>
      </w:r>
    </w:p>
    <w:p w:rsidR="00F46E26" w:rsidRPr="00CB333D" w:rsidRDefault="00D76867" w:rsidP="00E03D90">
      <w:pPr>
        <w:pStyle w:val="NumPar1"/>
      </w:pPr>
      <w:r w:rsidRPr="00CB333D">
        <w:t>Финансиране от Съюза, управлявано централно от институциите, агенциите, съвместни предприятия или други органи на Съюза, което не е пряко или косвено под контрола на държавата членка, не представлява държавна помощ. Когато такова финансиране от Съюза е съчетано с държавна помощ, само последната се взема предвид за установяването на това дали са спазени праговете за уведомяване и максималните интензитети на помощ или максималните размери на помощ, при условие че общият размер на публичното финансиране, предоставено във връзка с едни и същи допустими разходи, не превишава най-благоприятния процент на финансиране, установен с приложимите правила на законодателството на Съюза.</w:t>
      </w:r>
    </w:p>
    <w:p w:rsidR="00FF26B8" w:rsidRPr="00CB333D" w:rsidRDefault="00FF26B8" w:rsidP="00E03D90">
      <w:pPr>
        <w:pStyle w:val="NumPar1"/>
      </w:pPr>
      <w:r w:rsidRPr="00CB333D">
        <w:t>Помощ с установими допустими разходи, която е освободена с настоящия регламент, може да се натрупва със:</w:t>
      </w:r>
    </w:p>
    <w:p w:rsidR="00FF26B8" w:rsidRPr="00CB333D" w:rsidRDefault="003E353D" w:rsidP="003E353D">
      <w:pPr>
        <w:pStyle w:val="Point1"/>
      </w:pPr>
      <w:r>
        <w:t>а)</w:t>
      </w:r>
      <w:r w:rsidRPr="003E353D">
        <w:tab/>
      </w:r>
      <w:r w:rsidR="00FF26B8" w:rsidRPr="00CB333D">
        <w:t>всякаква друга държавна помощ, доколкото тези мерки засягат различни установими допустими разходи,</w:t>
      </w:r>
    </w:p>
    <w:p w:rsidR="00FF26B8" w:rsidRPr="00CB333D" w:rsidRDefault="003E353D" w:rsidP="003E353D">
      <w:pPr>
        <w:pStyle w:val="Point1"/>
      </w:pPr>
      <w:r>
        <w:t>б)</w:t>
      </w:r>
      <w:r w:rsidRPr="003E353D">
        <w:tab/>
      </w:r>
      <w:r w:rsidR="00FF26B8" w:rsidRPr="00CB333D">
        <w:t xml:space="preserve">всякаква друга държавна помощ във връзка със същите допустими разходи, които се припокриват частично или напълно, само ако това натрупване не води до надвишаване на най-високия интензитет на помощта или размер на помощта, приложими за тази помощ по силата на настоящия регламент. </w:t>
      </w:r>
    </w:p>
    <w:p w:rsidR="00FF26B8" w:rsidRPr="00CB333D" w:rsidRDefault="00FF26B8" w:rsidP="00E03D90">
      <w:pPr>
        <w:pStyle w:val="NumPar1"/>
      </w:pPr>
      <w:r w:rsidRPr="00CB333D">
        <w:t xml:space="preserve">Помощ без установими допустими разходи, освободена съгласно членове 20, 21 и 22 от настоящия регламент, може да се натрупва с друга мярка за държавна помощ с установими допустими разходи. Помощ без установими допустими разходи може да се натрупва с друга държавна помощ без установими допустими разходи до най-високия общ праг за финансиране, определен в конкретните обстоятелства за всеки отделен случай с този или друг регламент или решение за групово освобождаване, приети от Комисията. </w:t>
      </w:r>
    </w:p>
    <w:p w:rsidR="00FF26B8" w:rsidRPr="00CB333D" w:rsidRDefault="00FF26B8" w:rsidP="00E03D90">
      <w:pPr>
        <w:pStyle w:val="NumPar1"/>
      </w:pPr>
      <w:r w:rsidRPr="00CB333D">
        <w:t xml:space="preserve">Държавна помощ, освободена по силата на настоящия регламент, не може да се натрупва с помощ de minimis по отношение на същите допустими разходи, ако такова натрупване би довело до интензитет на помощта, надвишаващ установените в глава ІІІ от настоящия регламент прагове. </w:t>
      </w:r>
    </w:p>
    <w:p w:rsidR="00FF26B8" w:rsidRPr="00CB333D" w:rsidRDefault="00FF26B8" w:rsidP="00E03D90">
      <w:pPr>
        <w:pStyle w:val="NumPar1"/>
      </w:pPr>
      <w:r w:rsidRPr="00CB333D">
        <w:t>Чрез дерогация от параграф 3, буква б) помощите за работещи с увреждания, съгласно предвиденото в членове 32 и 33, могат да бъдат натрупвани с помощи, които са освободени по настоящия регламент във връзка със същите допустими разходи, надхвърлящи най-високия приложим праг, предвиден в настоящия регламент, ако това натрупване не води до интензитет на помощ, който надхвърля 100 % от съответните разходи през всеки период, за който са наети съответните работещи.</w:t>
      </w:r>
    </w:p>
    <w:p w:rsidR="00042815" w:rsidRPr="00CB333D" w:rsidRDefault="00F05D31" w:rsidP="00113ACC">
      <w:pPr>
        <w:pStyle w:val="Titrearticle"/>
        <w:rPr>
          <w:b/>
        </w:rPr>
      </w:pPr>
      <w:r w:rsidRPr="00CB333D">
        <w:t>Член 9</w:t>
      </w:r>
      <w:r w:rsidRPr="00CB333D">
        <w:br/>
      </w:r>
      <w:r w:rsidRPr="00CB333D">
        <w:rPr>
          <w:b/>
        </w:rPr>
        <w:t>Публикуване и информация</w:t>
      </w:r>
    </w:p>
    <w:p w:rsidR="00042815" w:rsidRPr="00CB333D" w:rsidRDefault="00042815" w:rsidP="000773EE">
      <w:pPr>
        <w:pStyle w:val="NumPar1"/>
        <w:numPr>
          <w:ilvl w:val="0"/>
          <w:numId w:val="52"/>
        </w:numPr>
      </w:pPr>
      <w:r w:rsidRPr="00CB333D">
        <w:t>Съответната държава членка публикува на подробен уебсайт за държавна помощ, на национално или регионално равнище:</w:t>
      </w:r>
    </w:p>
    <w:p w:rsidR="00042815" w:rsidRPr="00CB333D" w:rsidRDefault="003E353D" w:rsidP="003E353D">
      <w:pPr>
        <w:pStyle w:val="Point1"/>
      </w:pPr>
      <w:r>
        <w:t>а)</w:t>
      </w:r>
      <w:r w:rsidRPr="003E353D">
        <w:tab/>
      </w:r>
      <w:r w:rsidR="00042815" w:rsidRPr="00CB333D">
        <w:t>обобщената информация за всяка мярка за помощ, освободена по настоящия регламент, в стандартизирания формат, определен в приложение III,</w:t>
      </w:r>
    </w:p>
    <w:p w:rsidR="00042815" w:rsidRPr="00CB333D" w:rsidRDefault="003E353D" w:rsidP="003E353D">
      <w:pPr>
        <w:pStyle w:val="Point1"/>
      </w:pPr>
      <w:r>
        <w:t>б)</w:t>
      </w:r>
      <w:r w:rsidRPr="003E353D">
        <w:tab/>
      </w:r>
      <w:r w:rsidR="00042815" w:rsidRPr="00CB333D">
        <w:t>пълния текст на всяка мярка за помощ, включително нейните изменения, или уебвръзка към него;</w:t>
      </w:r>
    </w:p>
    <w:p w:rsidR="0063368F" w:rsidRPr="00CB333D" w:rsidRDefault="003E353D" w:rsidP="003E353D">
      <w:pPr>
        <w:pStyle w:val="Point1"/>
      </w:pPr>
      <w:r>
        <w:t>в)</w:t>
      </w:r>
      <w:r w:rsidRPr="003E353D">
        <w:tab/>
      </w:r>
      <w:r w:rsidR="0063368F" w:rsidRPr="00CB333D">
        <w:t xml:space="preserve">информация за всяка индивидуална помощ, надхвърляща 200 000 EUR, в стандартизирания формат, определен в част III от приложение III. </w:t>
      </w:r>
    </w:p>
    <w:p w:rsidR="00984E8A" w:rsidRPr="00CB333D" w:rsidRDefault="00984E8A" w:rsidP="00E03D90">
      <w:pPr>
        <w:pStyle w:val="NumPar1"/>
      </w:pPr>
      <w:r w:rsidRPr="00CB333D">
        <w:t>Що се отнася до помощта, отпусната по член 14, параграф 14 и член 19 от настоящия регламент, информацията, посочена в параграф 1 по-горе, трябва да бъде поместена на уебсайта на държавата членка, в която е разположен съответният управителен орган, съгласно определението в член 20 от Регламент [COM(2011)611 ЕФРР/ЕТС].</w:t>
      </w:r>
    </w:p>
    <w:p w:rsidR="0063368F" w:rsidRPr="00CB333D" w:rsidRDefault="0063368F" w:rsidP="00E03D90">
      <w:pPr>
        <w:pStyle w:val="NumPar1"/>
      </w:pPr>
      <w:r w:rsidRPr="00CB333D">
        <w:t>За схеми под формата на данъчни предимства и за схеми по член 20 от настоящия регламент, условията, посочени в параграф 1, буква в) от настоящия регламент се считат за изпълнени, ако държавите членки публикуват необходимата информация за индивидуалните помощи [по траншове от 2 млн. EUR].</w:t>
      </w:r>
    </w:p>
    <w:p w:rsidR="0063368F" w:rsidRPr="00CB333D" w:rsidRDefault="0063368F" w:rsidP="00E03D90">
      <w:pPr>
        <w:pStyle w:val="NumPar1"/>
      </w:pPr>
      <w:r w:rsidRPr="00CB333D">
        <w:t xml:space="preserve">Информацията, посочена в параграф 1, буква в), е организирана и е достъпна по стандартизиран начин, описан в приложение V, и дава възможност за ефективно търсене и изтегляне. Информацията, посочена в параграф 1, се поддържа актуална и достъпна за период от най-малко 10 години от датата, на която е предоставена помощта. </w:t>
      </w:r>
    </w:p>
    <w:p w:rsidR="00042815" w:rsidRPr="00CB333D" w:rsidRDefault="00042815" w:rsidP="00E03D90">
      <w:pPr>
        <w:pStyle w:val="NumPar1"/>
      </w:pPr>
      <w:r w:rsidRPr="00CB333D">
        <w:t xml:space="preserve">Пълният текст на схемата или на мярката ad hoc, посочени в параграф 1, включва по-специално изрично позоваване на настоящия регламент чрез цитиране на неговото заглавие и данни за публикуването му в Официален вестник на Европейския съюз и към специфичните разпоредби на глава </w:t>
      </w:r>
      <w:r w:rsidR="004E4656" w:rsidRPr="00CB333D">
        <w:fldChar w:fldCharType="begin"/>
      </w:r>
      <w:r w:rsidR="004E4656" w:rsidRPr="00CB333D">
        <w:instrText xml:space="preserve"> REF ChapterIII \h </w:instrText>
      </w:r>
      <w:r w:rsidR="007C0193" w:rsidRPr="00CB333D">
        <w:instrText xml:space="preserve"> \* MERGEFORMAT </w:instrText>
      </w:r>
      <w:r w:rsidR="004E4656" w:rsidRPr="00CB333D">
        <w:fldChar w:fldCharType="separate"/>
      </w:r>
      <w:r w:rsidR="00CB3162" w:rsidRPr="00CB333D">
        <w:t>III</w:t>
      </w:r>
      <w:r w:rsidR="004E4656" w:rsidRPr="00CB333D">
        <w:fldChar w:fldCharType="end"/>
      </w:r>
      <w:r w:rsidRPr="00CB333D">
        <w:t>, засягащи този акт, или, където е приложимо, позоваване на националното законодателство, което гарантира спазването на съответните разпоредби на настоящия регламент. Текстът се придружава от разпоредбите за прилагането му и от внесените в него изменения.</w:t>
      </w:r>
    </w:p>
    <w:p w:rsidR="007A68FE" w:rsidRPr="00CB333D" w:rsidRDefault="007A68FE" w:rsidP="00E03D90">
      <w:pPr>
        <w:pStyle w:val="NumPar1"/>
      </w:pPr>
      <w:r w:rsidRPr="00CB333D">
        <w:t>Комисията публикува на своя уебсайт:</w:t>
      </w:r>
    </w:p>
    <w:p w:rsidR="007A68FE" w:rsidRPr="00CB333D" w:rsidRDefault="003E353D" w:rsidP="003E353D">
      <w:pPr>
        <w:pStyle w:val="Point1"/>
      </w:pPr>
      <w:r>
        <w:t>а)</w:t>
      </w:r>
      <w:r w:rsidRPr="003E353D">
        <w:tab/>
      </w:r>
      <w:r w:rsidR="007A68FE" w:rsidRPr="00CB333D">
        <w:t>връзки към уебсайтовете за държавна помощ, посочени в параграф 1, принадлежащи на държавите членки;</w:t>
      </w:r>
    </w:p>
    <w:p w:rsidR="00060DD5" w:rsidRPr="00CB333D" w:rsidRDefault="003E353D" w:rsidP="003E353D">
      <w:pPr>
        <w:pStyle w:val="Point1"/>
      </w:pPr>
      <w:r>
        <w:t>б)</w:t>
      </w:r>
      <w:r w:rsidRPr="003E353D">
        <w:tab/>
      </w:r>
      <w:r w:rsidR="007A68FE" w:rsidRPr="00CB333D">
        <w:t>обобщената информация по параграф 1, буква а).</w:t>
      </w:r>
    </w:p>
    <w:p w:rsidR="00752A95" w:rsidRPr="00CB333D" w:rsidRDefault="00F05D31" w:rsidP="00060DD5">
      <w:pPr>
        <w:pStyle w:val="ChapterTitle"/>
      </w:pPr>
      <w:r w:rsidRPr="00CB333D">
        <w:br w:type="page"/>
      </w:r>
      <w:bookmarkStart w:id="4" w:name="_Toc377391816"/>
      <w:r w:rsidRPr="00CB333D">
        <w:t xml:space="preserve">ГЛАВА </w:t>
      </w:r>
      <w:bookmarkStart w:id="5" w:name="XhapterII"/>
      <w:r w:rsidRPr="00CB333D">
        <w:t>II</w:t>
      </w:r>
      <w:bookmarkEnd w:id="5"/>
      <w:r w:rsidRPr="00CB333D">
        <w:br/>
        <w:t>Процедурни изисквания</w:t>
      </w:r>
      <w:bookmarkEnd w:id="4"/>
    </w:p>
    <w:p w:rsidR="00A33729" w:rsidRPr="00CB333D" w:rsidRDefault="00A33729" w:rsidP="00A33729">
      <w:pPr>
        <w:pStyle w:val="Titrearticle"/>
      </w:pPr>
      <w:r w:rsidRPr="00CB333D">
        <w:t>Член 10</w:t>
      </w:r>
      <w:r w:rsidRPr="00CB333D">
        <w:br/>
      </w:r>
      <w:r w:rsidRPr="00CB333D">
        <w:rPr>
          <w:b/>
        </w:rPr>
        <w:t>Отмяна на групово освобождаване</w:t>
      </w:r>
    </w:p>
    <w:p w:rsidR="00A33729" w:rsidRPr="00CB333D" w:rsidRDefault="00A33729" w:rsidP="00A33729">
      <w:pPr>
        <w:keepNext/>
        <w:keepLines/>
        <w:spacing w:before="480"/>
      </w:pPr>
      <w:r w:rsidRPr="00CB333D">
        <w:t>Когато съответната държава членка предоставя помощ, за която се предполага, че е освободена от изискването за уведомяване съгласно настоящия регламент, без да изпълнява условията, посочени в настоящата глава и в глава III, или не изпълнява изискванията от глава II, Комисията може, след като е предоставила на съответната държава членка възможността да изложи своите аргументи, да приеме решение, с което обявява, че в съответствие с член 108, параграф 3 от Договора тя трябва да бъде уведомена за всички бъдещи мерки за помощ или за някои от тях, които иначе биха изпълнили изискванията на настоящия регламент, приети от съответната държава членка. Мерките, които подлежат на задължение за уведомяване, могат да бъдат ограничени до мерки, приети в полза на някои видове помощи или някои бенефициери, или до мерки, приети от някои органи на съответната държава членка.</w:t>
      </w:r>
    </w:p>
    <w:p w:rsidR="00752A95" w:rsidRPr="00CB333D" w:rsidRDefault="00F05D31" w:rsidP="00065352">
      <w:pPr>
        <w:pStyle w:val="Titrearticle"/>
        <w:keepLines/>
      </w:pPr>
      <w:r w:rsidRPr="00CB333D">
        <w:t>Член 11</w:t>
      </w:r>
      <w:r w:rsidRPr="00CB333D">
        <w:br/>
      </w:r>
      <w:r w:rsidRPr="00CB333D">
        <w:rPr>
          <w:b/>
        </w:rPr>
        <w:t>Докладване</w:t>
      </w:r>
      <w:r w:rsidRPr="00CB333D">
        <w:t xml:space="preserve"> </w:t>
      </w:r>
    </w:p>
    <w:p w:rsidR="00752A95" w:rsidRPr="00CB333D" w:rsidRDefault="00752A95" w:rsidP="00065352">
      <w:pPr>
        <w:keepNext/>
        <w:keepLines/>
      </w:pPr>
      <w:r w:rsidRPr="00CB333D">
        <w:t>Държавите членки, или при помощи, предоставени по член 14, параграф 14 и член 19 от настоящия регламент, управляващите органи, определени в член 20 от Регламент [COM(2011)611 ЕФРР/ЕТС], предават на Комисията:</w:t>
      </w:r>
    </w:p>
    <w:p w:rsidR="00752A95" w:rsidRPr="00CB333D" w:rsidRDefault="00766CF2" w:rsidP="00766CF2">
      <w:pPr>
        <w:pStyle w:val="Point1"/>
      </w:pPr>
      <w:r>
        <w:t>а)</w:t>
      </w:r>
      <w:r w:rsidRPr="00766CF2">
        <w:tab/>
      </w:r>
      <w:r w:rsidR="00752A95" w:rsidRPr="00CB333D">
        <w:t>по електронната система на Комисията за уведомяване</w:t>
      </w:r>
      <w:r w:rsidR="00752A95" w:rsidRPr="00CB333D">
        <w:rPr>
          <w:rStyle w:val="FootnoteReference"/>
        </w:rPr>
        <w:footnoteReference w:id="28"/>
      </w:r>
      <w:r w:rsidR="00752A95" w:rsidRPr="00CB333D">
        <w:t xml:space="preserve"> обобщената информация, посочена в член 9, параграф 1, буква а), заедно с връзка за достъп до пълния текст на мярката за помощ, както е посочено в член 9, параграф 1, буква б), в срок 20 работни дни след влизането ѝ в сила.</w:t>
      </w:r>
    </w:p>
    <w:p w:rsidR="000363DA" w:rsidRPr="00CB333D" w:rsidRDefault="00766CF2" w:rsidP="00766CF2">
      <w:pPr>
        <w:pStyle w:val="Point1"/>
      </w:pPr>
      <w:r>
        <w:t>б)</w:t>
      </w:r>
      <w:r w:rsidRPr="00766CF2">
        <w:tab/>
      </w:r>
      <w:r w:rsidR="002144E0" w:rsidRPr="00CB333D">
        <w:t>годишен доклад, както е посочено в глава III от Регламент (ЕО) № 794/2004 на Комисията от 21 април 2004 г.</w:t>
      </w:r>
      <w:r w:rsidR="002144E0" w:rsidRPr="00CB333D">
        <w:rPr>
          <w:rStyle w:val="FootnoteReference"/>
        </w:rPr>
        <w:footnoteReference w:id="29"/>
      </w:r>
      <w:r w:rsidR="002144E0" w:rsidRPr="00CB333D">
        <w:t>, в електронен формат относно прилагането на настоящия регламент, съдържащ информацията, посочена в приложение III към настоящия регламент, за всяка пълна година или всяка част от годината, през която се прилага настоящия регламент.</w:t>
      </w:r>
    </w:p>
    <w:p w:rsidR="00042815" w:rsidRPr="00CB333D" w:rsidRDefault="00F05D31" w:rsidP="00303B98">
      <w:pPr>
        <w:pStyle w:val="Titrearticle"/>
        <w:spacing w:before="120"/>
        <w:rPr>
          <w:b/>
        </w:rPr>
      </w:pPr>
      <w:r w:rsidRPr="00CB333D">
        <w:t>Член 12</w:t>
      </w:r>
      <w:r w:rsidRPr="00CB333D">
        <w:br/>
      </w:r>
      <w:r w:rsidRPr="00CB333D">
        <w:rPr>
          <w:b/>
        </w:rPr>
        <w:t xml:space="preserve">Контрол </w:t>
      </w:r>
    </w:p>
    <w:p w:rsidR="00042815" w:rsidRPr="00CB333D" w:rsidRDefault="00042815" w:rsidP="00303B98">
      <w:pPr>
        <w:keepNext/>
        <w:keepLines/>
      </w:pPr>
      <w:r w:rsidRPr="00CB333D">
        <w:t>За да е възможно Комисията да контролира помощите, освободени от задължението за уведомяване по силата на настоящия регламент, държавите членки или, при помощи, предоставени по член 14, параграф 14 и член 19 от настоящия регламент — управляващите органи, водят подробна документация, съдържаща информацията и удостоверенията, необходими, за да бъде установено спазването на всички условия, определени в настоящия регламент. Тази документация се съхранява за период от 10 години от датата на предоставяне на индивидуалната помощ или от датата на предоставяне на последната помощ по схемата. Съответната държава членка или управляващият орган предоставят на Комисията в срок от 20 работни дни или по-дълъг срок, който може да е определен в искането, цялата информация и придружаваща документация, считана от Комисията за необходима, за да контролира прилагането на настоящия регламент.</w:t>
      </w:r>
    </w:p>
    <w:p w:rsidR="00042815" w:rsidRPr="00CB333D" w:rsidRDefault="00042815" w:rsidP="00630212">
      <w:pPr>
        <w:pStyle w:val="ChapterTitle"/>
        <w:spacing w:before="600"/>
      </w:pPr>
      <w:bookmarkStart w:id="6" w:name="_Toc377391817"/>
      <w:r w:rsidRPr="00CB333D">
        <w:t>ГЛАВА</w:t>
      </w:r>
      <w:bookmarkStart w:id="7" w:name="ChapterIII"/>
      <w:r w:rsidR="009F1962">
        <w:t xml:space="preserve"> </w:t>
      </w:r>
      <w:r w:rsidRPr="00CB333D">
        <w:t>III</w:t>
      </w:r>
      <w:bookmarkEnd w:id="7"/>
      <w:r w:rsidRPr="00CB333D">
        <w:br/>
        <w:t>Специални разпоредби за различните категории помощи</w:t>
      </w:r>
      <w:bookmarkEnd w:id="6"/>
    </w:p>
    <w:p w:rsidR="00042815" w:rsidRPr="00CB333D" w:rsidRDefault="00042815" w:rsidP="00630212">
      <w:pPr>
        <w:pStyle w:val="SectionTitle"/>
        <w:spacing w:before="360"/>
      </w:pPr>
      <w:bookmarkStart w:id="8" w:name="_Toc377391818"/>
      <w:r w:rsidRPr="00CB333D">
        <w:t xml:space="preserve">Раздел </w:t>
      </w:r>
      <w:bookmarkStart w:id="9" w:name="Section1"/>
      <w:r w:rsidRPr="00CB333D">
        <w:t>1</w:t>
      </w:r>
      <w:bookmarkEnd w:id="9"/>
      <w:r w:rsidRPr="00CB333D">
        <w:t xml:space="preserve"> - Регионална помощ</w:t>
      </w:r>
      <w:bookmarkEnd w:id="8"/>
    </w:p>
    <w:p w:rsidR="00843EAA" w:rsidRPr="00CB333D" w:rsidRDefault="00843EAA" w:rsidP="00E33370">
      <w:pPr>
        <w:jc w:val="center"/>
        <w:rPr>
          <w:b/>
        </w:rPr>
      </w:pPr>
      <w:r w:rsidRPr="00CB333D">
        <w:rPr>
          <w:b/>
        </w:rPr>
        <w:t>Подраздел А — Регионална инвестиционна и оперативна помощ</w:t>
      </w:r>
    </w:p>
    <w:p w:rsidR="00A0308B" w:rsidRPr="00CB333D" w:rsidRDefault="00F05D31" w:rsidP="00303B98">
      <w:pPr>
        <w:pStyle w:val="Titrearticle"/>
        <w:spacing w:before="0" w:after="0"/>
        <w:rPr>
          <w:b/>
        </w:rPr>
      </w:pPr>
      <w:r w:rsidRPr="00CB333D">
        <w:t>Член 13</w:t>
      </w:r>
      <w:r w:rsidRPr="00CB333D">
        <w:br/>
      </w:r>
      <w:r w:rsidRPr="00CB333D">
        <w:rPr>
          <w:b/>
        </w:rPr>
        <w:t>Приложно поле на регионалната помощ</w:t>
      </w:r>
    </w:p>
    <w:p w:rsidR="00414388" w:rsidRPr="00CB333D" w:rsidRDefault="00414388" w:rsidP="000773EE">
      <w:pPr>
        <w:pStyle w:val="NumPar1"/>
        <w:numPr>
          <w:ilvl w:val="0"/>
          <w:numId w:val="51"/>
        </w:numPr>
      </w:pPr>
      <w:r w:rsidRPr="00CB333D">
        <w:t xml:space="preserve">Настоящият регламент не се прилага за: </w:t>
      </w:r>
    </w:p>
    <w:p w:rsidR="00414388" w:rsidRPr="00CB333D" w:rsidRDefault="007C5111" w:rsidP="007C5111">
      <w:pPr>
        <w:pStyle w:val="Point1"/>
      </w:pPr>
      <w:r>
        <w:t>а)</w:t>
      </w:r>
      <w:r w:rsidRPr="007C5111">
        <w:tab/>
      </w:r>
      <w:r w:rsidR="00414388" w:rsidRPr="00CB333D">
        <w:t>регионални помощи, които облагодетелстват дейности в стоманодобива, въгледобива, корабостроенето, производството на синтетични влакна, транспорта, летищните инфраструктури и енергетиката;</w:t>
      </w:r>
    </w:p>
    <w:p w:rsidR="00414388" w:rsidRPr="00CB333D" w:rsidRDefault="007C5111" w:rsidP="007C5111">
      <w:pPr>
        <w:pStyle w:val="Point1"/>
      </w:pPr>
      <w:r>
        <w:t>б)</w:t>
      </w:r>
      <w:r w:rsidRPr="007C5111">
        <w:tab/>
      </w:r>
      <w:r w:rsidR="00414388" w:rsidRPr="00CB333D">
        <w:t>регионални помощи под формата на схеми, предназначени за конкретни стопански сектори по смисъла на настоящия регламент; схемите, предназначени за туристически дейности, широколентови инфраструктури и преработката и продажбата на селскостопански продукти, не се считат за насочени към конкретни стопански сектори;</w:t>
      </w:r>
    </w:p>
    <w:p w:rsidR="00414388" w:rsidRPr="00CB333D" w:rsidRDefault="007C5111" w:rsidP="007C5111">
      <w:pPr>
        <w:pStyle w:val="Point1"/>
      </w:pPr>
      <w:r>
        <w:t>в)</w:t>
      </w:r>
      <w:r w:rsidRPr="007C5111">
        <w:tab/>
      </w:r>
      <w:r w:rsidR="00414388" w:rsidRPr="00CB333D">
        <w:t>регионални помощи под формата на схеми, които компенсират разходите за транспорт на стоки, произведени в най-отдалечените региони или в слабо населените региони и които:</w:t>
      </w:r>
    </w:p>
    <w:p w:rsidR="00414388" w:rsidRPr="00CB333D" w:rsidRDefault="00414388" w:rsidP="00414388">
      <w:pPr>
        <w:pStyle w:val="Point2"/>
      </w:pPr>
      <w:r w:rsidRPr="00CB333D">
        <w:t>i)</w:t>
      </w:r>
      <w:r w:rsidRPr="00CB333D">
        <w:tab/>
        <w:t xml:space="preserve">благоприятстват дейности, свързани с производството, преработката и продажбата на продуктите, изброени в приложение I към Договора; или </w:t>
      </w:r>
    </w:p>
    <w:p w:rsidR="00414388" w:rsidRPr="00CB333D" w:rsidRDefault="00414388" w:rsidP="00414388">
      <w:pPr>
        <w:pStyle w:val="Point2"/>
      </w:pPr>
      <w:r w:rsidRPr="00CB333D">
        <w:t>ii)</w:t>
      </w:r>
      <w:r w:rsidRPr="00CB333D">
        <w:tab/>
        <w:t>благоприятстват дейности, които са класифицирани като селско, горско и рибно стопанство съгласно раздел А от NACE Rev. 2, добивна промишленост съгласно раздел Б от NACE Rev. 2 и производство и разпределение на електроенергия, газ, пара и климатизация съгласно раздел Г на NACE Rev. 2;</w:t>
      </w:r>
    </w:p>
    <w:p w:rsidR="00414388" w:rsidRPr="00CB333D" w:rsidRDefault="00414388" w:rsidP="00414388">
      <w:pPr>
        <w:pStyle w:val="Point2"/>
      </w:pPr>
      <w:r w:rsidRPr="00CB333D">
        <w:t>iii)</w:t>
      </w:r>
      <w:r w:rsidRPr="00CB333D">
        <w:tab/>
        <w:t>благоприятстват превоза на стоки по тръбопроводи;</w:t>
      </w:r>
    </w:p>
    <w:p w:rsidR="00414388" w:rsidRPr="00CB333D" w:rsidRDefault="007C5111" w:rsidP="007C5111">
      <w:pPr>
        <w:pStyle w:val="Point1"/>
      </w:pPr>
      <w:r>
        <w:t>г)</w:t>
      </w:r>
      <w:r w:rsidRPr="007C5111">
        <w:tab/>
      </w:r>
      <w:r w:rsidR="00414388" w:rsidRPr="00CB333D">
        <w:t>индивидуални регионални инвестиционни помощи за бенефициер, който е закрил същата или подобна дейност в ЕИП през двете години, предхождащи заявлението му за регионална инвестиционна помощ, или който към момента на заявлението за помощ има конкретни планове да закрие такава дейност до две години след завършването на инвестицията в съответния регион.</w:t>
      </w:r>
    </w:p>
    <w:p w:rsidR="00414388" w:rsidRPr="00CB333D" w:rsidRDefault="007C5111" w:rsidP="007C5111">
      <w:pPr>
        <w:pStyle w:val="Point1"/>
      </w:pPr>
      <w:r>
        <w:t>д)</w:t>
      </w:r>
      <w:r w:rsidRPr="007C5111">
        <w:tab/>
      </w:r>
      <w:r w:rsidR="001E5BD3" w:rsidRPr="00CB333D">
        <w:t>регионални оперативни помощи, отпуснати на предприятия, чиято основна дейност спада към раздел К „Финансови и застрахователни дейности“ от статистическата класификация на икономическите дейности</w:t>
      </w:r>
      <w:r w:rsidR="001E5BD3" w:rsidRPr="00CB333D">
        <w:rPr>
          <w:rStyle w:val="FootnoteReference"/>
        </w:rPr>
        <w:footnoteReference w:id="30"/>
      </w:r>
      <w:r w:rsidR="001E5BD3" w:rsidRPr="00CB333D">
        <w:t xml:space="preserve"> NACE Rev. 2, или на предприятия, които извършват дейности в група, чиято основна дейност спада към класове 70.10 „Дейности на централни офиси“ или 70.22 „Консултантски дейности в областта на управлението“ от NACE Rev. 2. </w:t>
      </w:r>
    </w:p>
    <w:p w:rsidR="00414388" w:rsidRPr="00CB333D" w:rsidRDefault="00F05D31" w:rsidP="004E3F83">
      <w:pPr>
        <w:pStyle w:val="Titrearticle"/>
      </w:pPr>
      <w:r w:rsidRPr="00CB333D">
        <w:t>Член 14</w:t>
      </w:r>
      <w:r w:rsidRPr="00CB333D">
        <w:br/>
      </w:r>
      <w:r w:rsidRPr="00CB333D">
        <w:rPr>
          <w:b/>
        </w:rPr>
        <w:t>Регионална инвестиционна помощ</w:t>
      </w:r>
    </w:p>
    <w:p w:rsidR="00414388" w:rsidRPr="00CB333D" w:rsidRDefault="00414388" w:rsidP="000773EE">
      <w:pPr>
        <w:pStyle w:val="NumPar1"/>
        <w:numPr>
          <w:ilvl w:val="0"/>
          <w:numId w:val="50"/>
        </w:numPr>
      </w:pPr>
      <w:bookmarkStart w:id="10" w:name="_Ref346125758"/>
      <w:r w:rsidRPr="00CB333D">
        <w:t>Мерките за регионална инвестиционна помощ са съвместими с общия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w:t>
      </w:r>
      <w:bookmarkEnd w:id="10"/>
    </w:p>
    <w:p w:rsidR="00414388" w:rsidRPr="00CB333D" w:rsidRDefault="00414388" w:rsidP="00E03D90">
      <w:pPr>
        <w:pStyle w:val="NumPar1"/>
      </w:pPr>
      <w:r w:rsidRPr="00CB333D">
        <w:t xml:space="preserve">Помощта се предоставя в подпомагани региони. </w:t>
      </w:r>
    </w:p>
    <w:p w:rsidR="00414388" w:rsidRPr="00CB333D" w:rsidRDefault="00414388" w:rsidP="00E03D90">
      <w:pPr>
        <w:pStyle w:val="NumPar1"/>
        <w:keepNext/>
      </w:pPr>
      <w:r w:rsidRPr="00CB333D">
        <w:t>В подпомагани области, които отговарят на условията на член 107, параграф 3, буква а) от Договора, помощ може да се отпусне за първоначална инвестиция по смисъла на настоящия регламент независимо от големината на получателя. В подпомагани региони, отговарящи на условията на член 107, параграф 3, буква в) от Договора, на МСП може да бъде предоставена помощ за първоначална инвестиция под всякаква форма, докато помощ за големи предприятия се предоставя само за първоначална инвестиция в полза на нова дейност по смисъла на настоящия регламент в съответния регион.</w:t>
      </w:r>
    </w:p>
    <w:p w:rsidR="00414388" w:rsidRPr="00CB333D" w:rsidRDefault="00414388" w:rsidP="00E03D90">
      <w:pPr>
        <w:pStyle w:val="NumPar1"/>
        <w:keepNext/>
      </w:pPr>
      <w:r w:rsidRPr="00CB333D">
        <w:t>Допустимите разходи включват:</w:t>
      </w:r>
    </w:p>
    <w:p w:rsidR="00414388" w:rsidRPr="00CB333D" w:rsidRDefault="00F562E9" w:rsidP="00F562E9">
      <w:pPr>
        <w:pStyle w:val="Point1"/>
      </w:pPr>
      <w:r>
        <w:t>а)</w:t>
      </w:r>
      <w:r w:rsidRPr="00F562E9">
        <w:tab/>
      </w:r>
      <w:r w:rsidR="00414388" w:rsidRPr="00CB333D">
        <w:t xml:space="preserve">инвестиционни разходи в материални и нематериални активи; </w:t>
      </w:r>
    </w:p>
    <w:p w:rsidR="00414388" w:rsidRPr="00CB333D" w:rsidRDefault="00F562E9" w:rsidP="00F562E9">
      <w:pPr>
        <w:pStyle w:val="Point1"/>
      </w:pPr>
      <w:r>
        <w:t>б)</w:t>
      </w:r>
      <w:r w:rsidRPr="00F562E9">
        <w:tab/>
      </w:r>
      <w:r w:rsidR="00414388" w:rsidRPr="00CB333D">
        <w:t>планирани разходи за заплати, възникнали от създаването на работни места в резултат от първоначална инвестиция, изчислени за период от две години.</w:t>
      </w:r>
    </w:p>
    <w:p w:rsidR="00832621" w:rsidRPr="00CB333D" w:rsidRDefault="00F562E9" w:rsidP="00F562E9">
      <w:pPr>
        <w:pStyle w:val="Point1"/>
      </w:pPr>
      <w:r>
        <w:t>в)</w:t>
      </w:r>
      <w:r w:rsidRPr="00F562E9">
        <w:tab/>
      </w:r>
      <w:r w:rsidR="00414388" w:rsidRPr="00CB333D">
        <w:t>комбинация от разходи, посочени в букви а) и б), ако комбинираната сума не надвишава по-голямата от двете суми а) или б).</w:t>
      </w:r>
    </w:p>
    <w:p w:rsidR="00414388" w:rsidRPr="00CB333D" w:rsidRDefault="00414388" w:rsidP="009567E2">
      <w:r w:rsidRPr="00CB333D">
        <w:t>.</w:t>
      </w:r>
    </w:p>
    <w:p w:rsidR="00414388" w:rsidRPr="00CB333D" w:rsidRDefault="00414388" w:rsidP="00E03D90">
      <w:pPr>
        <w:pStyle w:val="NumPar1"/>
        <w:keepNext/>
      </w:pPr>
      <w:r w:rsidRPr="00CB333D">
        <w:t>Инвестицията се поддържа в региона получател най-малко пет години, а в случай на МСП — най-малко три години след изпълнението на инвестицията. Това не възпрепятства замяната на машини или съоръжения, които са остарели или повредени, при условие че стопанската дейност се запазва в съответния регион за минималния период, посочен по-горе.</w:t>
      </w:r>
    </w:p>
    <w:p w:rsidR="00414388" w:rsidRPr="00CB333D" w:rsidRDefault="00414388" w:rsidP="00E03D90">
      <w:pPr>
        <w:pStyle w:val="NumPar1"/>
        <w:keepNext/>
      </w:pPr>
      <w:r w:rsidRPr="00CB333D">
        <w:t xml:space="preserve">Придобитите активи трябва да са нови освен когато са придобити от МСП и когато става дума за придобиване на предприятие. Разходи, свързани с наемането на материални активи, трябва да отговарят на следните условия: </w:t>
      </w:r>
    </w:p>
    <w:p w:rsidR="00414388" w:rsidRPr="00CB333D" w:rsidRDefault="00F562E9" w:rsidP="00F562E9">
      <w:pPr>
        <w:pStyle w:val="Point1"/>
      </w:pPr>
      <w:r>
        <w:t>а)</w:t>
      </w:r>
      <w:r w:rsidRPr="00F562E9">
        <w:tab/>
      </w:r>
      <w:r w:rsidR="00414388" w:rsidRPr="00CB333D">
        <w:t xml:space="preserve">при отдаване под наем на земя и сгради наемът трябва да продължи поне пет години след очакваната дата на завършване на инвестиционния проект за големи предприятия или три години за МСП; </w:t>
      </w:r>
    </w:p>
    <w:p w:rsidR="00414388" w:rsidRPr="00CB333D" w:rsidRDefault="00F562E9" w:rsidP="00F562E9">
      <w:pPr>
        <w:pStyle w:val="Point1"/>
      </w:pPr>
      <w:r>
        <w:t>б)</w:t>
      </w:r>
      <w:r w:rsidRPr="00F562E9">
        <w:tab/>
      </w:r>
      <w:r w:rsidR="00414388" w:rsidRPr="00CB333D">
        <w:t>за съоръжения и машини наемането трябва да е под формата на финансов лизинг, в който да се съдържа задължението бенефициерът на помощта да купи актива след изтичането на договора за лизинг.</w:t>
      </w:r>
    </w:p>
    <w:p w:rsidR="00414388" w:rsidRPr="00CB333D" w:rsidRDefault="00414388" w:rsidP="00414388">
      <w:pPr>
        <w:pStyle w:val="Text1"/>
      </w:pPr>
      <w:r w:rsidRPr="00CB333D">
        <w:t xml:space="preserve">В случай на придобиване на активи от предприятие по смисъла на приложение I, точка 40, се вземат предвид единствено разходите за закупуване на активите от трети страни, които не са свързани с купувача. Сделката трябва да бъде извършена по пазарни условия. Ако помощта за придобиване на активите е била предоставена преди тяхното закупуване, разходите за тези активи се приспадат от допустими разходи, свързани с придобиването на предприятието. В случай на предаване по наследство на малко предприятие в полза на семейството на първоначалния собственик/собственици или на бивши служители, отпада условието активите да бъдат изкупени от трети страни, които не са свързани с купувача. Придобиването на акции не представлява първоначална инвестиция. </w:t>
      </w:r>
    </w:p>
    <w:p w:rsidR="00414388" w:rsidRPr="00CB333D" w:rsidRDefault="00414388" w:rsidP="00E03D90">
      <w:pPr>
        <w:pStyle w:val="NumPar1"/>
        <w:keepNext/>
      </w:pPr>
      <w:r w:rsidRPr="00CB333D">
        <w:t xml:space="preserve">За помощ, отпусната за фундаментална промяна в производствения процес, допустимите разходи трябва да надвишават амортизацията на актива, свързан с дейността, модернизирана през предходните три финансови години. За помощ, предоставена за диверсификацията на съществуващо предприятие, допустимите разходи трябва да надвишават с поне 200 % счетоводната стойност на активите, които се използват повторно, както са осчетоводени през финансовата година преди започването на работа. </w:t>
      </w:r>
    </w:p>
    <w:p w:rsidR="00414388" w:rsidRPr="00CB333D" w:rsidRDefault="00414388" w:rsidP="00E03D90">
      <w:pPr>
        <w:pStyle w:val="NumPar1"/>
        <w:keepNext/>
      </w:pPr>
      <w:r w:rsidRPr="00CB333D">
        <w:t xml:space="preserve">Нематериалните активи трябва да отговарят на следните условия: </w:t>
      </w:r>
    </w:p>
    <w:p w:rsidR="00414388" w:rsidRPr="00CB333D" w:rsidRDefault="00F562E9" w:rsidP="00F562E9">
      <w:pPr>
        <w:pStyle w:val="Point1"/>
      </w:pPr>
      <w:r>
        <w:t>а)</w:t>
      </w:r>
      <w:r w:rsidRPr="00F562E9">
        <w:tab/>
      </w:r>
      <w:r w:rsidR="00414388" w:rsidRPr="00CB333D">
        <w:t xml:space="preserve">да бъдат използвани единствено в предприятието, което получава помощта; </w:t>
      </w:r>
    </w:p>
    <w:p w:rsidR="00414388" w:rsidRPr="00CB333D" w:rsidRDefault="00F562E9" w:rsidP="00F562E9">
      <w:pPr>
        <w:pStyle w:val="Point1"/>
      </w:pPr>
      <w:r>
        <w:t>б)</w:t>
      </w:r>
      <w:r w:rsidRPr="00F562E9">
        <w:tab/>
      </w:r>
      <w:r w:rsidR="00414388" w:rsidRPr="00CB333D">
        <w:t xml:space="preserve">да бъдат амортизируеми; </w:t>
      </w:r>
    </w:p>
    <w:p w:rsidR="00414388" w:rsidRPr="00CB333D" w:rsidRDefault="00F562E9" w:rsidP="00F562E9">
      <w:pPr>
        <w:pStyle w:val="Point1"/>
      </w:pPr>
      <w:r>
        <w:t>в)</w:t>
      </w:r>
      <w:r w:rsidRPr="00F562E9">
        <w:tab/>
      </w:r>
      <w:r w:rsidR="00414388" w:rsidRPr="00CB333D">
        <w:t xml:space="preserve">да бъдат закупени при пазарни условия от трети страни, несвързани с купувача, и </w:t>
      </w:r>
    </w:p>
    <w:p w:rsidR="00414388" w:rsidRPr="00CB333D" w:rsidRDefault="00F562E9" w:rsidP="00F562E9">
      <w:pPr>
        <w:pStyle w:val="Point1"/>
      </w:pPr>
      <w:r>
        <w:t>г)</w:t>
      </w:r>
      <w:r w:rsidRPr="00F562E9">
        <w:tab/>
      </w:r>
      <w:r w:rsidR="00414388" w:rsidRPr="00CB333D">
        <w:t xml:space="preserve">да бъдат включени в активите на предприятието, получаващо помощта, както и да останат свързани с проекта, за който е отпусната помощта, за срок от минимум пет години (три години за МСП). </w:t>
      </w:r>
    </w:p>
    <w:p w:rsidR="00414388" w:rsidRPr="00CB333D" w:rsidRDefault="00F562E9" w:rsidP="00F562E9">
      <w:pPr>
        <w:pStyle w:val="Point1"/>
      </w:pPr>
      <w:r>
        <w:t>д)</w:t>
      </w:r>
      <w:r w:rsidRPr="00F562E9">
        <w:tab/>
      </w:r>
      <w:r w:rsidR="00414388" w:rsidRPr="00CB333D">
        <w:t xml:space="preserve">за големи предприятия разходите за нематериални активи са допустими само до 50 % от общите допустими инвестиционни разходи за първоначална инвестиция. </w:t>
      </w:r>
    </w:p>
    <w:p w:rsidR="00414388" w:rsidRPr="00CB333D" w:rsidRDefault="00414388" w:rsidP="00E03D90">
      <w:pPr>
        <w:pStyle w:val="NumPar1"/>
        <w:keepNext/>
      </w:pPr>
      <w:r w:rsidRPr="00CB333D">
        <w:t>Когато допустимите разходи са изчислени въз основа на планираните разходи за заплати, както е описано в параграф 4, буква б) от настоящия член, трябва да са изпълнени следните условия:</w:t>
      </w:r>
    </w:p>
    <w:p w:rsidR="00414388" w:rsidRPr="00CB333D" w:rsidRDefault="00F562E9" w:rsidP="00F562E9">
      <w:pPr>
        <w:pStyle w:val="Point1"/>
      </w:pPr>
      <w:r>
        <w:t>а)</w:t>
      </w:r>
      <w:r w:rsidRPr="00F562E9">
        <w:tab/>
      </w:r>
      <w:r w:rsidR="00414388" w:rsidRPr="00CB333D">
        <w:t>инвестиционният проект трябва да доведе до нетно увеличение на броя на служителите в съответното предприятие в сравнение със средния им брой през предходните 12 месеца, след като от привидния брой създадени работни места бъдат приспаднати закритите през този период работни места;</w:t>
      </w:r>
    </w:p>
    <w:p w:rsidR="00414388" w:rsidRPr="00CB333D" w:rsidRDefault="00F562E9" w:rsidP="00F562E9">
      <w:pPr>
        <w:pStyle w:val="Point1"/>
      </w:pPr>
      <w:r>
        <w:t>б)</w:t>
      </w:r>
      <w:r w:rsidRPr="00F562E9">
        <w:tab/>
      </w:r>
      <w:r w:rsidR="00414388" w:rsidRPr="00CB333D">
        <w:t>работните места трябва да бъдат заети в срок от три години след приключване на работата по проекта и</w:t>
      </w:r>
    </w:p>
    <w:p w:rsidR="00414388" w:rsidRPr="00CB333D" w:rsidRDefault="00F562E9" w:rsidP="00F562E9">
      <w:pPr>
        <w:pStyle w:val="Point1"/>
      </w:pPr>
      <w:r>
        <w:t>в)</w:t>
      </w:r>
      <w:r w:rsidRPr="00F562E9">
        <w:tab/>
      </w:r>
      <w:r w:rsidR="00414388" w:rsidRPr="00CB333D">
        <w:t>всяко работно място, създадено благодарение на инвестицията, трябва да бъде запазено в съответния регион за период от пет години, считано от датата, на която работното място е било заето за пръв път, или три години в случай на МСП.</w:t>
      </w:r>
    </w:p>
    <w:p w:rsidR="00414388" w:rsidRPr="00CB333D" w:rsidRDefault="00414388" w:rsidP="00E03D90">
      <w:pPr>
        <w:pStyle w:val="NumPar1"/>
      </w:pPr>
      <w:r w:rsidRPr="00CB333D">
        <w:t xml:space="preserve">Регионалната помощ за разработването на широколентова мрежа трябва да отговаря на следните условия: </w:t>
      </w:r>
    </w:p>
    <w:p w:rsidR="00414388" w:rsidRPr="00CB333D" w:rsidRDefault="00F562E9" w:rsidP="00F562E9">
      <w:pPr>
        <w:pStyle w:val="Point1"/>
      </w:pPr>
      <w:r>
        <w:t>а)</w:t>
      </w:r>
      <w:r w:rsidRPr="00F562E9">
        <w:tab/>
      </w:r>
      <w:r w:rsidR="00414388" w:rsidRPr="00CB333D">
        <w:t>помощ се предоставя само на места, където няма мрежа от същата категория (основен широколентов достъп или мрежи за достъп от следващо поколение) и където не е вероятно такава инфраструктура да бъде изградена на търговски начала в срок от три години след решението за отпускане на помощта;</w:t>
      </w:r>
    </w:p>
    <w:p w:rsidR="00414388" w:rsidRPr="00CB333D" w:rsidRDefault="00F562E9" w:rsidP="00F562E9">
      <w:pPr>
        <w:pStyle w:val="Point1"/>
      </w:pPr>
      <w:r>
        <w:t>б)</w:t>
      </w:r>
      <w:r w:rsidRPr="00F562E9">
        <w:tab/>
      </w:r>
      <w:r w:rsidR="00414388" w:rsidRPr="00CB333D">
        <w:t>операторът на субсидираната мрежа предлага активен и пасивен достъп на едро при справедливи и недискриминационни условия, включително ефективен и изцяло необвързан физически достъп в случай на мрежи за много високоскоростен достъп от следващо поколение;</w:t>
      </w:r>
    </w:p>
    <w:p w:rsidR="00414388" w:rsidRPr="00CB333D" w:rsidRDefault="00F562E9" w:rsidP="00F562E9">
      <w:pPr>
        <w:pStyle w:val="Point1"/>
      </w:pPr>
      <w:r>
        <w:t>в)</w:t>
      </w:r>
      <w:r w:rsidRPr="00F562E9">
        <w:tab/>
      </w:r>
      <w:r w:rsidR="00414388" w:rsidRPr="00CB333D">
        <w:t xml:space="preserve">помощта се отпуска въз основа на конкурс. </w:t>
      </w:r>
    </w:p>
    <w:p w:rsidR="00414388" w:rsidRPr="00CB333D" w:rsidRDefault="005609DE" w:rsidP="00B543E9">
      <w:pPr>
        <w:pStyle w:val="Text1"/>
      </w:pPr>
      <w:r w:rsidRPr="00CB333D">
        <w:t>Регионални помощи за научноизследователски инфраструктури се отпускат само когато помощта е обвързана със задължението за даване на прозрачен и недискриминационен достъп до тези инфраструктури.</w:t>
      </w:r>
    </w:p>
    <w:p w:rsidR="00414388" w:rsidRPr="00CB333D" w:rsidRDefault="00414388" w:rsidP="00E03D90">
      <w:pPr>
        <w:pStyle w:val="NumPar1"/>
      </w:pPr>
      <w:r w:rsidRPr="00CB333D">
        <w:t>Интензитетът на помощ, изразен в брутен еквивалент на безвъзмездна помощ, не надхвърля максималния интензитет на помощта, определен в картата за регионални помощи, който е в сила към момента на предоставяне на помощта в съответната област. Когато интензитетът на помощ се изчислява въз основа на параграф 4, буква б) от настоящия член, максималният интензитет на помощ не надвишава най-благоприятния размер, получен в резултат на прилагането на този интензитет въз основа на инвестиционните разходи или разходите за заплати. За големи инвестиционни проекти помощта не превишава съответната коригирана помощ, изчислена в съответствие с механизма, определен в приложение I, точка 35.</w:t>
      </w:r>
    </w:p>
    <w:p w:rsidR="00AE15B9" w:rsidRPr="00CB333D" w:rsidRDefault="00AE15B9" w:rsidP="00E03D90">
      <w:pPr>
        <w:pStyle w:val="NumPar1"/>
      </w:pPr>
      <w:r w:rsidRPr="00CB333D">
        <w:t>Всяка първоначална инвестиция, започната от един и същ бенефициер (на равнище група) в срок от три години, считано от датата на започване на работите по друга подпомогната инвестиция в същия регион NUTS 3, се счита за част от единен инвестиционен проект. Когато такъв единен инвестиционен проект е голям инвестиционен проект, общият размер на помощта за единен инвестиционен проект не трябва да надхвърля максималната помощ за големи инвестиционни проекти.</w:t>
      </w:r>
    </w:p>
    <w:p w:rsidR="00414388" w:rsidRPr="00CB333D" w:rsidRDefault="00414388" w:rsidP="00E03D90">
      <w:pPr>
        <w:pStyle w:val="NumPar1"/>
      </w:pPr>
      <w:r w:rsidRPr="00CB333D">
        <w:t>Бенефициерът на помощта трябва да осигури финансов принос от най-малко 25 % от допустимите разходи чрез свои собствени ресурси или чрез външно финансиране във форма, която не включва държавно подпомагане. Когато обаче максималният интензитет на помощ за инвестиции в полза на МСП в най-отдалечен регион надхвърля 75 %, финансовият принос на бенефициера може да бъде намален с процентните пунктове над 75 %.</w:t>
      </w:r>
    </w:p>
    <w:p w:rsidR="00414388" w:rsidRPr="00CB333D" w:rsidRDefault="00414388" w:rsidP="00E03D90">
      <w:pPr>
        <w:pStyle w:val="NumPar1"/>
      </w:pPr>
      <w:r w:rsidRPr="00CB333D">
        <w:t>За първоначална инвестиция, свързана с проекти по цел „Европейско териториално сътрудничество“, които попадат в проложното поле на Регламент на Европейския парламент и на Съвета относно специални разпоредби за подкрепа от Европейския фонд за регионално развитие по цел „Европейско териториално сътрудничество“ [Предложение на Комисията COM(2011)611 ЕФРР/ЕТС], интензитетът на помощ на региона, в който се намира първоначалната инвестиция, се прилага за всички бенефициери, участващи в проекта. Ако първоначалната инвестиция е разположена в два или повече подпомагани региона, максималният интензитет на помощ е интензитетът, приложим в подпомагания регион, където са направени най-големите допустимите разходи. В подпомагани региони, отговарящи на условията за получаване на помощ съгласно член 107, параграф 3, буква в) от Договора, тази разпоредба се прилага по отношение на големи предприятия само ако първоначалната инвестиция се отнася до нова стопанска дейност.</w:t>
      </w:r>
    </w:p>
    <w:p w:rsidR="00042815" w:rsidRPr="00CB333D" w:rsidRDefault="00F05D31" w:rsidP="00113ACC">
      <w:pPr>
        <w:pStyle w:val="Titrearticle"/>
        <w:rPr>
          <w:b/>
        </w:rPr>
      </w:pPr>
      <w:r w:rsidRPr="00CB333D">
        <w:t>Член 15</w:t>
      </w:r>
      <w:r w:rsidRPr="00CB333D">
        <w:br/>
      </w:r>
      <w:r w:rsidRPr="00CB333D">
        <w:rPr>
          <w:b/>
        </w:rPr>
        <w:t>Регионална оперативна помощ</w:t>
      </w:r>
    </w:p>
    <w:p w:rsidR="00843EAA" w:rsidRPr="00CB333D" w:rsidRDefault="00843EAA" w:rsidP="000773EE">
      <w:pPr>
        <w:pStyle w:val="NumPar1"/>
        <w:numPr>
          <w:ilvl w:val="0"/>
          <w:numId w:val="49"/>
        </w:numPr>
      </w:pPr>
      <w:r w:rsidRPr="00CB333D">
        <w:t>Схемите за регионална оперативна помощ в най-отдалечените региони и в слабо населените региони</w:t>
      </w:r>
      <w:r w:rsidRPr="00CB333D">
        <w:rPr>
          <w:rStyle w:val="FootnoteReference"/>
        </w:rPr>
        <w:footnoteReference w:id="31"/>
      </w:r>
      <w:r w:rsidRPr="00CB333D">
        <w:t xml:space="preserve">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w:t>
      </w:r>
    </w:p>
    <w:p w:rsidR="00843EAA" w:rsidRPr="00CB333D" w:rsidRDefault="00843EAA" w:rsidP="00E03D90">
      <w:pPr>
        <w:pStyle w:val="NumPar1"/>
      </w:pPr>
      <w:r w:rsidRPr="00CB333D">
        <w:t>Схемите за регионална оперативна помощ компенсират:</w:t>
      </w:r>
    </w:p>
    <w:p w:rsidR="00843EAA" w:rsidRPr="00CB333D" w:rsidRDefault="0026784F" w:rsidP="0026784F">
      <w:pPr>
        <w:pStyle w:val="Point1"/>
      </w:pPr>
      <w:r>
        <w:t>а)</w:t>
      </w:r>
      <w:r w:rsidRPr="0026784F">
        <w:tab/>
      </w:r>
      <w:r w:rsidR="00843EAA" w:rsidRPr="00CB333D">
        <w:t>допълнителните разходи за транспорт на стоки, които са произведени в региони, които отговарят на условията за оперативна помощ, при следните условия:</w:t>
      </w:r>
    </w:p>
    <w:p w:rsidR="00843EAA" w:rsidRPr="00CB333D" w:rsidRDefault="00843EAA" w:rsidP="000773EE">
      <w:pPr>
        <w:pStyle w:val="Bullet2"/>
        <w:numPr>
          <w:ilvl w:val="0"/>
          <w:numId w:val="10"/>
        </w:numPr>
      </w:pPr>
      <w:r w:rsidRPr="00CB333D">
        <w:t>производствената дейност на бенефициерите е в тези региони;</w:t>
      </w:r>
    </w:p>
    <w:p w:rsidR="00843EAA" w:rsidRPr="00CB333D" w:rsidRDefault="00843EAA" w:rsidP="00B543E9">
      <w:pPr>
        <w:pStyle w:val="Bullet2"/>
      </w:pPr>
      <w:r w:rsidRPr="00CB333D">
        <w:t>помощта може предварително да бъде изразена количествено по обективен начин въз основа на фиксирана сума или сума за тонкилометър или друга подходяща единица;</w:t>
      </w:r>
    </w:p>
    <w:p w:rsidR="00843EAA" w:rsidRPr="00CB333D" w:rsidRDefault="00843EAA" w:rsidP="00B543E9">
      <w:pPr>
        <w:pStyle w:val="Bullet2"/>
      </w:pPr>
      <w:r w:rsidRPr="00CB333D">
        <w:t>допълнителните транспортни разходи се изчисляват въз основа на пробега на стоките, произведени в допустимия регион, от мястото на произход до мястото на местоназначение на територията на съответната държава членка, като се използва транспортното средство, което води до най-ниските разходи за бенефициера, като се вземат предвид и външните разходи за околната среда;</w:t>
      </w:r>
    </w:p>
    <w:p w:rsidR="00843EAA" w:rsidRPr="00CB333D" w:rsidRDefault="00843EAA" w:rsidP="00B543E9">
      <w:pPr>
        <w:pStyle w:val="Bullet2"/>
      </w:pPr>
      <w:r w:rsidRPr="00CB333D">
        <w:t>за най-отдалечените региони допустимите допълнителни транспортни разходи могат да включват разходите за транспорт на първични основни продукти, суровини или междинни продукти от мястото на тяхното производство до местата в най-отдалечените области, където ще продължи тяхната преработка.</w:t>
      </w:r>
    </w:p>
    <w:p w:rsidR="00843EAA" w:rsidRPr="00CB333D" w:rsidRDefault="0026784F" w:rsidP="0026784F">
      <w:pPr>
        <w:pStyle w:val="Point1"/>
      </w:pPr>
      <w:r>
        <w:t>б)</w:t>
      </w:r>
      <w:r w:rsidRPr="0026784F">
        <w:tab/>
      </w:r>
      <w:r w:rsidR="00843EAA" w:rsidRPr="00CB333D">
        <w:t xml:space="preserve">допълнителните оперативни разходи, различни от разходите за транспорт, направени в най-отдалечените региони, като пряко следствие от едно или няколко от трайните неблагоприятни условия, посочени в член 349 от Договора, при условие че: </w:t>
      </w:r>
    </w:p>
    <w:p w:rsidR="00843EAA" w:rsidRPr="00CB333D" w:rsidRDefault="00843EAA" w:rsidP="00B543E9">
      <w:pPr>
        <w:pStyle w:val="Bullet2"/>
      </w:pPr>
      <w:r w:rsidRPr="00CB333D">
        <w:t xml:space="preserve">икономическата дейност на бенефициерите е в най-отдалечените региони; </w:t>
      </w:r>
    </w:p>
    <w:p w:rsidR="00843EAA" w:rsidRPr="00CB333D" w:rsidRDefault="00843EAA" w:rsidP="00B543E9">
      <w:pPr>
        <w:pStyle w:val="Bullet2"/>
      </w:pPr>
      <w:r w:rsidRPr="00CB333D">
        <w:t>годишният размер на помощта за бенефициер не надвишава по-ниската от следните суми:</w:t>
      </w:r>
    </w:p>
    <w:p w:rsidR="00843EAA" w:rsidRPr="00CB333D" w:rsidRDefault="00843EAA" w:rsidP="000773EE">
      <w:pPr>
        <w:pStyle w:val="Tiret3"/>
        <w:numPr>
          <w:ilvl w:val="0"/>
          <w:numId w:val="11"/>
        </w:numPr>
      </w:pPr>
      <w:bookmarkStart w:id="11" w:name="_Ref343255455"/>
      <w:r w:rsidRPr="00CB333D">
        <w:t>15 % от годишната брутна добавена стойност, създадена от бенефициера в съответния най-отдалечен регион;</w:t>
      </w:r>
    </w:p>
    <w:p w:rsidR="00843EAA" w:rsidRPr="00CB333D" w:rsidRDefault="00843EAA" w:rsidP="00F05D31">
      <w:pPr>
        <w:pStyle w:val="Tiret3"/>
      </w:pPr>
      <w:r w:rsidRPr="00CB333D">
        <w:t>25 % от годишните разходи за труд, понесени от бенефициера в съответния най-отдалечен регион.</w:t>
      </w:r>
      <w:bookmarkEnd w:id="11"/>
    </w:p>
    <w:p w:rsidR="00843EAA" w:rsidRPr="00CB333D" w:rsidRDefault="00843EAA" w:rsidP="00E03D90">
      <w:pPr>
        <w:pStyle w:val="NumPar1"/>
      </w:pPr>
      <w:r w:rsidRPr="00CB333D">
        <w:t>Интензитетът на помощ не надвишава 100 % от допустимите допълнителни разходи, посочени в настоящия член.</w:t>
      </w:r>
    </w:p>
    <w:p w:rsidR="00FE18DA" w:rsidRPr="00CB333D" w:rsidRDefault="00843EAA" w:rsidP="00E33370">
      <w:pPr>
        <w:jc w:val="center"/>
        <w:rPr>
          <w:b/>
        </w:rPr>
      </w:pPr>
      <w:r w:rsidRPr="00CB333D">
        <w:rPr>
          <w:b/>
        </w:rPr>
        <w:t>Подраздел Б — Помощ за градско развитие</w:t>
      </w:r>
    </w:p>
    <w:p w:rsidR="00FE18DA" w:rsidRPr="00CB333D" w:rsidRDefault="00FE18DA" w:rsidP="00FE18DA">
      <w:pPr>
        <w:pStyle w:val="Titrearticle"/>
        <w:spacing w:before="480"/>
      </w:pPr>
      <w:r w:rsidRPr="00CB333D">
        <w:t>Член 16</w:t>
      </w:r>
      <w:r w:rsidRPr="00CB333D">
        <w:br/>
      </w:r>
      <w:r w:rsidRPr="00CB333D">
        <w:rPr>
          <w:b/>
        </w:rPr>
        <w:t xml:space="preserve">Регионална помощ за градско развитие </w:t>
      </w:r>
    </w:p>
    <w:p w:rsidR="00FE18DA" w:rsidRPr="00CB333D" w:rsidRDefault="00FE18DA" w:rsidP="000773EE">
      <w:pPr>
        <w:pStyle w:val="NumPar1"/>
        <w:numPr>
          <w:ilvl w:val="0"/>
          <w:numId w:val="48"/>
        </w:numPr>
      </w:pPr>
      <w:r w:rsidRPr="00CB333D">
        <w:t xml:space="preserve">Регионалните помощи за градско развитие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 </w:t>
      </w:r>
    </w:p>
    <w:p w:rsidR="00FE18DA" w:rsidRPr="00CB333D" w:rsidRDefault="00FE18DA" w:rsidP="00E03D90">
      <w:pPr>
        <w:pStyle w:val="NumPar1"/>
      </w:pPr>
      <w:r w:rsidRPr="00CB333D">
        <w:t>За да бъдат допустими до помощ по настоящия член, проектите за градско развитие трябва да отговарят на следните критерии:</w:t>
      </w:r>
    </w:p>
    <w:p w:rsidR="00FE18DA" w:rsidRPr="00CB333D" w:rsidRDefault="0026784F" w:rsidP="0026784F">
      <w:pPr>
        <w:pStyle w:val="Point1"/>
      </w:pPr>
      <w:r>
        <w:t>а)</w:t>
      </w:r>
      <w:r w:rsidRPr="0026784F">
        <w:tab/>
      </w:r>
      <w:r w:rsidR="00FE18DA" w:rsidRPr="00CB333D">
        <w:t>да се изпълняват посредством фондовете за градско развитие в подпомагани региони;</w:t>
      </w:r>
    </w:p>
    <w:p w:rsidR="00FE18DA" w:rsidRPr="00CB333D" w:rsidRDefault="0026784F" w:rsidP="0026784F">
      <w:pPr>
        <w:pStyle w:val="Point1"/>
      </w:pPr>
      <w:r>
        <w:t>б)</w:t>
      </w:r>
      <w:r w:rsidRPr="0026784F">
        <w:tab/>
      </w:r>
      <w:r w:rsidR="00FE18DA" w:rsidRPr="00CB333D">
        <w:t>да са съфинансирани от структурните фондове на ЕС и от инвестиционните фондове;</w:t>
      </w:r>
    </w:p>
    <w:p w:rsidR="00FE18DA" w:rsidRPr="00CB333D" w:rsidRDefault="0026784F" w:rsidP="0026784F">
      <w:pPr>
        <w:pStyle w:val="Point1"/>
      </w:pPr>
      <w:r>
        <w:t>в)</w:t>
      </w:r>
      <w:r w:rsidRPr="0026784F">
        <w:tab/>
      </w:r>
      <w:r w:rsidR="00FE18DA" w:rsidRPr="00CB333D">
        <w:t>да подкрепят прилагането на интегриран подход за устойчиво градско развитие.</w:t>
      </w:r>
    </w:p>
    <w:p w:rsidR="00FE18DA" w:rsidRPr="00CB333D" w:rsidRDefault="00FE18DA" w:rsidP="00E03D90">
      <w:pPr>
        <w:pStyle w:val="NumPar1"/>
      </w:pPr>
      <w:r w:rsidRPr="00CB333D">
        <w:t>Общата инвестиция в проект за градско развитие по мярка за помощ за градско развитие не превишава [20] млн. EUR.</w:t>
      </w:r>
    </w:p>
    <w:p w:rsidR="00FE18DA" w:rsidRPr="00CB333D" w:rsidRDefault="00FE18DA" w:rsidP="00E03D90">
      <w:pPr>
        <w:pStyle w:val="NumPar1"/>
      </w:pPr>
      <w:r w:rsidRPr="00CB333D">
        <w:t>Допустимите разходи са цялостните разходи по проект за градско развитие, доколкото те са в съответствие с член [от Регламента за общоприложимите разпоредби].</w:t>
      </w:r>
    </w:p>
    <w:p w:rsidR="00FE18DA" w:rsidRPr="00CB333D" w:rsidRDefault="00FE18DA" w:rsidP="00E03D90">
      <w:pPr>
        <w:pStyle w:val="NumPar1"/>
      </w:pPr>
      <w:r w:rsidRPr="00CB333D">
        <w:t>Помощите за градско развитие, отпуснати от фонда за градско развитие в полза на допустимите проекти за градско развитие, могат да бъдат под формата на капитал, квазикапитал, заеми, гаранции или комбинация от тях.</w:t>
      </w:r>
    </w:p>
    <w:p w:rsidR="00FE18DA" w:rsidRPr="00CB333D" w:rsidRDefault="00FE18DA" w:rsidP="00E03D90">
      <w:pPr>
        <w:pStyle w:val="NumPar1"/>
      </w:pPr>
      <w:r w:rsidRPr="00CB333D">
        <w:t xml:space="preserve">Помощите за градско развитие трябва да привлекат допълнителни инвестиции от частни инвеститори на равнището на фондовете за градско развитие или проектите за градско развитие, така че да бъде събрана обща сума, представляваща поне 30 % от цялото финансиране, предоставено за проект за градско развитие. </w:t>
      </w:r>
    </w:p>
    <w:p w:rsidR="00FE18DA" w:rsidRPr="00CB333D" w:rsidRDefault="00FE18DA" w:rsidP="00E03D90">
      <w:pPr>
        <w:pStyle w:val="NumPar1"/>
      </w:pPr>
      <w:r w:rsidRPr="00CB333D">
        <w:t xml:space="preserve">Частните и публичните инвеститори могат да предоставят парични средства или вноски в натура или комбинация от тях за изпълнението на проекта за градско развитие. Вноските в натура се вземат предвид по пазарната им стойност, която се удостоверява от независим квалифициран експерт или надлежно упълномощен официален орган. </w:t>
      </w:r>
    </w:p>
    <w:p w:rsidR="00FE18DA" w:rsidRPr="00CB333D" w:rsidRDefault="00FE18DA" w:rsidP="00E03D90">
      <w:pPr>
        <w:pStyle w:val="NumPar1"/>
      </w:pPr>
      <w:r w:rsidRPr="00CB333D">
        <w:t>Фондът за градско развитие гарантира, че са изпълнени следните условия:</w:t>
      </w:r>
    </w:p>
    <w:p w:rsidR="00FE18DA" w:rsidRPr="00CB333D" w:rsidRDefault="0026784F" w:rsidP="0026784F">
      <w:pPr>
        <w:pStyle w:val="Point1"/>
      </w:pPr>
      <w:r>
        <w:t>а)</w:t>
      </w:r>
      <w:r w:rsidRPr="0026784F">
        <w:tab/>
      </w:r>
      <w:r w:rsidR="00FE18DA" w:rsidRPr="00CB333D">
        <w:t>управителите на фондове за градско развитие се подбират посредством открита, прозрачна и недискриминационна процедура в съответствие с приложимите правила на Съюза и на държавите членки. В частност, не се допуска дискриминация между управителите на фондове за градско развитие въз основа на тяхното място на установяване или регистриране независимо от държавата членка. От управителите на фондове за градско развитие може да се изисква да отговарят на предварително определени критерии, които са обективно оправдани с естеството на инвестициите;</w:t>
      </w:r>
    </w:p>
    <w:p w:rsidR="00FE18DA" w:rsidRPr="00CB333D" w:rsidRDefault="0026784F" w:rsidP="0026784F">
      <w:pPr>
        <w:pStyle w:val="Point1"/>
      </w:pPr>
      <w:r>
        <w:t>б)</w:t>
      </w:r>
      <w:r w:rsidRPr="0026784F">
        <w:tab/>
      </w:r>
      <w:r w:rsidR="00FE18DA" w:rsidRPr="00CB333D">
        <w:t>частните инвеститори се подбират чрез открита, прозрачна и недискриминационна процедура в съответствие с приложимото съюзно и национално право с цел да бъдат установени подходящи механизми за споделяне на рисковете и ползите, като се отдава предпочитание на асиметричното разпределение на печалбата пред защитата срещу рисковете от загуби. Ако частните инвеститори не се подбират по такава процедура, справедливият процент на възвращаемост за частните инвеститори се определя от независим експерт, избран чрез открита, прозрачна и недискриминационна процедура;</w:t>
      </w:r>
    </w:p>
    <w:p w:rsidR="00FE18DA" w:rsidRPr="00CB333D" w:rsidRDefault="0026784F" w:rsidP="0026784F">
      <w:pPr>
        <w:pStyle w:val="Point1"/>
      </w:pPr>
      <w:r>
        <w:t>в)</w:t>
      </w:r>
      <w:r w:rsidRPr="0026784F">
        <w:tab/>
      </w:r>
      <w:r w:rsidR="00FE18DA" w:rsidRPr="00CB333D">
        <w:t>в случай на асиметрично разпределяне на загубата между публичните и частните инвеститори, първата загуба, поета от публичния инвеститор, се ограничава до [25 %] от общия размер на направената от него инвестиция;</w:t>
      </w:r>
    </w:p>
    <w:p w:rsidR="00FE18DA" w:rsidRPr="00CB333D" w:rsidRDefault="0026784F" w:rsidP="0026784F">
      <w:pPr>
        <w:pStyle w:val="Point1"/>
      </w:pPr>
      <w:r>
        <w:t>г)</w:t>
      </w:r>
      <w:r w:rsidRPr="0026784F">
        <w:tab/>
      </w:r>
      <w:r w:rsidR="00FE18DA" w:rsidRPr="00CB333D">
        <w:t>в случай на гаранции за частни инвеститори, участващи в проекти за градско развитие, размерът на гаранцията е ограничен до [80 %], а границата на общите загуби, поети от съответната държава членка, е [25] % от съответния портфейл от гарантирани инвестиции;</w:t>
      </w:r>
    </w:p>
    <w:p w:rsidR="00FE18DA" w:rsidRPr="00CB333D" w:rsidRDefault="0026784F" w:rsidP="0026784F">
      <w:pPr>
        <w:pStyle w:val="Point1"/>
      </w:pPr>
      <w:r>
        <w:t>д)</w:t>
      </w:r>
      <w:r w:rsidRPr="0026784F">
        <w:tab/>
      </w:r>
      <w:r w:rsidR="00FE18DA" w:rsidRPr="00CB333D">
        <w:t>на инвеститорите се разрешава да бъдат представени в органите, натоварени с управлението на фонда за градско развитие, като например надзорния съвет или на консултативния комитет.</w:t>
      </w:r>
    </w:p>
    <w:p w:rsidR="00FE18DA" w:rsidRPr="00CB333D" w:rsidRDefault="0026784F" w:rsidP="0026784F">
      <w:pPr>
        <w:pStyle w:val="Point1"/>
      </w:pPr>
      <w:r>
        <w:t>е)</w:t>
      </w:r>
      <w:r w:rsidRPr="0026784F">
        <w:tab/>
      </w:r>
      <w:r w:rsidR="00FE18DA" w:rsidRPr="00CB333D">
        <w:t>фондовете за градско развитие се учредяват в съответствие с приложимите закони и се извършва финансов и правен анализ, за да се гарантира стабилна търговска инвестиционна стратегия.</w:t>
      </w:r>
    </w:p>
    <w:p w:rsidR="00FE18DA" w:rsidRPr="00CB333D" w:rsidRDefault="00FE18DA" w:rsidP="00E03D90">
      <w:pPr>
        <w:pStyle w:val="NumPar1"/>
        <w:rPr>
          <w:rFonts w:cs="Calibri"/>
        </w:rPr>
      </w:pPr>
      <w:r w:rsidRPr="00CB333D">
        <w:t>Фондовете за градско развитие се управляват на търговски принцип и гарантират, че решенията за финансиране се вземат с цел постигане на печалба. Приема се, че това е така, когато управителите на фондовете за градско развитие отговарят на следните условия:</w:t>
      </w:r>
    </w:p>
    <w:p w:rsidR="00FE18DA" w:rsidRPr="00CB333D" w:rsidRDefault="0026784F" w:rsidP="0026784F">
      <w:pPr>
        <w:pStyle w:val="Point1"/>
      </w:pPr>
      <w:r>
        <w:t>а)</w:t>
      </w:r>
      <w:r w:rsidRPr="0026784F">
        <w:tab/>
      </w:r>
      <w:r w:rsidR="00FE18DA" w:rsidRPr="00CB333D">
        <w:t xml:space="preserve">управителите на фондове за градско развитие са задължени по закон или договор да действат добросъвестно и с грижата на професионален управител, както и да избягват конфликтите на интереси. Те прилагат най-добрите практики и подлежат на регулаторно наблюдение; </w:t>
      </w:r>
    </w:p>
    <w:p w:rsidR="00FE18DA" w:rsidRPr="00CB333D" w:rsidRDefault="0026784F" w:rsidP="0026784F">
      <w:pPr>
        <w:pStyle w:val="Point1"/>
      </w:pPr>
      <w:r>
        <w:t>б)</w:t>
      </w:r>
      <w:r w:rsidRPr="0026784F">
        <w:tab/>
      </w:r>
      <w:r w:rsidR="00FE18DA" w:rsidRPr="00CB333D">
        <w:t xml:space="preserve">възнаграждението на управителите на фондове за градско развитие съответства на пазарните практики. Това изискване се счита за изпълнено, когато управителят е избран чрез открита, прозрачна и недискриминационна конкурентна процедура въз основа на обективни критерии, свързани с опита, експертните знания и оперативния и финансовия капацитет; </w:t>
      </w:r>
    </w:p>
    <w:p w:rsidR="00FE18DA" w:rsidRPr="00CB333D" w:rsidRDefault="0026784F" w:rsidP="0026784F">
      <w:pPr>
        <w:pStyle w:val="Point1"/>
      </w:pPr>
      <w:r>
        <w:t>в)</w:t>
      </w:r>
      <w:r w:rsidRPr="0026784F">
        <w:tab/>
      </w:r>
      <w:r w:rsidR="00FE18DA" w:rsidRPr="00CB333D">
        <w:t xml:space="preserve">управителите на фондове за градско развитие получават възнаграждение, обвързано с постигнатите резултати, или споделят част от инвестиционните рискове, като съинвестират собствени средства, така че техните интереси постоянно да отговарят на интересите на публичния инвеститор; </w:t>
      </w:r>
    </w:p>
    <w:p w:rsidR="00FE18DA" w:rsidRPr="00CB333D" w:rsidRDefault="0026784F" w:rsidP="0026784F">
      <w:pPr>
        <w:pStyle w:val="Point1"/>
      </w:pPr>
      <w:r>
        <w:t>г)</w:t>
      </w:r>
      <w:r w:rsidRPr="0026784F">
        <w:tab/>
      </w:r>
      <w:r w:rsidR="00FE18DA" w:rsidRPr="00CB333D">
        <w:t xml:space="preserve">управителите на фондове за градско развитие изготвят инвестиционна стратегия, критерии и график на инвестициите в проекти за градско развитие, с които установяват предварително тяхната финансовата жизнеспособност и очакваното им въздействие върху градското развитието; </w:t>
      </w:r>
    </w:p>
    <w:p w:rsidR="00FE18DA" w:rsidRPr="00CB333D" w:rsidRDefault="0026784F" w:rsidP="0026784F">
      <w:pPr>
        <w:pStyle w:val="Point1"/>
      </w:pPr>
      <w:r>
        <w:t>д)</w:t>
      </w:r>
      <w:r w:rsidRPr="0026784F">
        <w:tab/>
      </w:r>
      <w:r w:rsidR="00FE18DA" w:rsidRPr="00CB333D">
        <w:t>за всяка инвестиция е налице ясна и реалистична стратегия за излизане за всеки проект за градско развитие.</w:t>
      </w:r>
    </w:p>
    <w:p w:rsidR="00FE18DA" w:rsidRPr="00CB333D" w:rsidRDefault="00FE18DA" w:rsidP="00E03D90">
      <w:pPr>
        <w:pStyle w:val="NumPar1"/>
      </w:pPr>
      <w:r w:rsidRPr="00CB333D">
        <w:t>Мерките за помощ за градско развитие, състоящи се от заеми или гаранции за проекти за градско развитие, трябва да отговарят на следните условия:</w:t>
      </w:r>
    </w:p>
    <w:p w:rsidR="00FE18DA" w:rsidRPr="00CB333D" w:rsidRDefault="0026784F" w:rsidP="0026784F">
      <w:pPr>
        <w:pStyle w:val="Point1"/>
      </w:pPr>
      <w:r>
        <w:t>а)</w:t>
      </w:r>
      <w:r w:rsidRPr="0026784F">
        <w:tab/>
      </w:r>
      <w:r w:rsidR="00FE18DA" w:rsidRPr="00CB333D">
        <w:t>в случай на заеми номиналният размер на заема се взема предвид при изчисляването на максималния размер на инвестицията за целите на параграф 3 от настоящия член;</w:t>
      </w:r>
    </w:p>
    <w:p w:rsidR="00FE18DA" w:rsidRPr="00CB333D" w:rsidRDefault="0026784F" w:rsidP="0026784F">
      <w:pPr>
        <w:pStyle w:val="Point1"/>
      </w:pPr>
      <w:r>
        <w:t>б)</w:t>
      </w:r>
      <w:r w:rsidRPr="0026784F">
        <w:tab/>
      </w:r>
      <w:r w:rsidR="00FE18DA" w:rsidRPr="00CB333D">
        <w:t>в случай на гаранции номиналният размер на възстановяемата инвестиция, за която се издава гаранцията, се взема предвид при изчисляването на максималния размер на инвестицията за целите на параграф 3 от настоящия член. Само гаранциите, които покриват очакваните загуби на съответния портфейл от гарантирани инвестиции, могат да бъдат предоставени безплатно. Ако гаранция включва също неочаквани загуби, фондът за градско развитие изплаща, за частта от гаранция, покриваща неочакваните загуби, гаранционна премия, която съответства на пазарните условия.</w:t>
      </w:r>
    </w:p>
    <w:p w:rsidR="00042815" w:rsidRPr="00CB333D" w:rsidRDefault="00042815" w:rsidP="00630212">
      <w:pPr>
        <w:pStyle w:val="SectionTitle"/>
        <w:spacing w:before="360"/>
      </w:pPr>
      <w:bookmarkStart w:id="12" w:name="_Toc377391819"/>
      <w:r w:rsidRPr="00CB333D">
        <w:t xml:space="preserve">Раздел </w:t>
      </w:r>
      <w:bookmarkStart w:id="13" w:name="Section2"/>
      <w:r w:rsidRPr="00CB333D">
        <w:t>2</w:t>
      </w:r>
      <w:bookmarkEnd w:id="13"/>
      <w:r w:rsidRPr="00CB333D">
        <w:t xml:space="preserve"> – Помощи за МСП</w:t>
      </w:r>
      <w:bookmarkEnd w:id="12"/>
    </w:p>
    <w:p w:rsidR="00042815" w:rsidRPr="00CB333D" w:rsidRDefault="00F05D31" w:rsidP="00353EDF">
      <w:pPr>
        <w:pStyle w:val="Titrearticle"/>
        <w:rPr>
          <w:b/>
        </w:rPr>
      </w:pPr>
      <w:r w:rsidRPr="00CB333D">
        <w:t>Член 17</w:t>
      </w:r>
      <w:r w:rsidRPr="00CB333D">
        <w:br/>
      </w:r>
      <w:r w:rsidRPr="00CB333D">
        <w:rPr>
          <w:b/>
        </w:rPr>
        <w:t>Инвестиционни помощи за МСП</w:t>
      </w:r>
    </w:p>
    <w:p w:rsidR="00414388" w:rsidRPr="00CB333D" w:rsidRDefault="000C0053" w:rsidP="000773EE">
      <w:pPr>
        <w:pStyle w:val="NumPar1"/>
        <w:numPr>
          <w:ilvl w:val="0"/>
          <w:numId w:val="61"/>
        </w:numPr>
      </w:pPr>
      <w:r w:rsidRPr="00CB333D">
        <w:t>Инвестиционните помощи за МСП, развиващи дейност на територията на Европейския съюз и извън нея,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w:t>
      </w:r>
    </w:p>
    <w:p w:rsidR="00414388" w:rsidRPr="00CB333D" w:rsidRDefault="00414388" w:rsidP="000773EE">
      <w:pPr>
        <w:pStyle w:val="NumPar1"/>
        <w:numPr>
          <w:ilvl w:val="0"/>
          <w:numId w:val="9"/>
        </w:numPr>
      </w:pPr>
      <w:r w:rsidRPr="00CB333D">
        <w:t>Допустимите разходи включват:</w:t>
      </w:r>
    </w:p>
    <w:p w:rsidR="00414388" w:rsidRPr="00CB333D" w:rsidRDefault="007C5AE0" w:rsidP="007C5AE0">
      <w:pPr>
        <w:pStyle w:val="Point1"/>
      </w:pPr>
      <w:r>
        <w:t>а)</w:t>
      </w:r>
      <w:r w:rsidRPr="007C5AE0">
        <w:tab/>
      </w:r>
      <w:r w:rsidR="00414388" w:rsidRPr="00CB333D">
        <w:t>разходите за инвестиция в материални и нематериални активи;</w:t>
      </w:r>
    </w:p>
    <w:p w:rsidR="00414388" w:rsidRPr="00CB333D" w:rsidRDefault="007C5AE0" w:rsidP="007C5AE0">
      <w:pPr>
        <w:pStyle w:val="Point1"/>
      </w:pPr>
      <w:r>
        <w:t>б)</w:t>
      </w:r>
      <w:r w:rsidRPr="007C5AE0">
        <w:tab/>
      </w:r>
      <w:r w:rsidR="00414388" w:rsidRPr="00CB333D">
        <w:t>планираните разходи за заплати за работни места, пряко създадени от инвестиционния проект, изчислени за период от две години.</w:t>
      </w:r>
    </w:p>
    <w:p w:rsidR="00414388" w:rsidRPr="00CB333D" w:rsidRDefault="00414388" w:rsidP="000773EE">
      <w:pPr>
        <w:pStyle w:val="NumPar1"/>
        <w:numPr>
          <w:ilvl w:val="0"/>
          <w:numId w:val="9"/>
        </w:numPr>
      </w:pPr>
      <w:r w:rsidRPr="00CB333D">
        <w:t>За да могат разходите да се считат за допустими за целите на настоящия регламент, инвестицията трябва да се състои от следното:</w:t>
      </w:r>
    </w:p>
    <w:p w:rsidR="00414388" w:rsidRPr="00CB333D" w:rsidRDefault="007C5AE0" w:rsidP="007C5AE0">
      <w:pPr>
        <w:pStyle w:val="Point1"/>
      </w:pPr>
      <w:r>
        <w:t>а)</w:t>
      </w:r>
      <w:r w:rsidRPr="007C5AE0">
        <w:tab/>
      </w:r>
      <w:r w:rsidR="00414388" w:rsidRPr="00CB333D">
        <w:t>инвестиция в материални и/или нематериални активи, свързани със създаването на нов стопански обект, разширяването на съществуващ стопански обект, диверсификацията на продукцията на даден стопански обект с добавяне на нови продукти или основна промяна в целия производствен процес на съществуващ стопански обект;</w:t>
      </w:r>
    </w:p>
    <w:p w:rsidR="00414388" w:rsidRPr="00CB333D" w:rsidRDefault="007C5AE0" w:rsidP="007C5AE0">
      <w:pPr>
        <w:pStyle w:val="Point1"/>
      </w:pPr>
      <w:r>
        <w:t>б)</w:t>
      </w:r>
      <w:r w:rsidRPr="007C5AE0">
        <w:tab/>
      </w:r>
      <w:r w:rsidR="00414388" w:rsidRPr="00CB333D">
        <w:t>придобиване на капиталови активи, пряко свързани с даден стопански обект, ако стопанският обект е бил закрит или е щял да бъде закрит, ако не е бил купен, и активите са закупени от независим инвеститор. Трансакцията трябва да бъде извършена по пазарни условия.</w:t>
      </w:r>
    </w:p>
    <w:p w:rsidR="00414388" w:rsidRPr="00CB333D" w:rsidRDefault="00414388" w:rsidP="00414388">
      <w:pPr>
        <w:pStyle w:val="Text1"/>
      </w:pPr>
      <w:r w:rsidRPr="00CB333D">
        <w:t>В случай на предаване по наследство на малко предприятие в полза на семейството на първоначалния собственик/собственици или на бивши служители, отпада условието активите да бъдат изкупени от трети страни, които не са свързани с купувача. Само по себе си придобиването на акции на дадено предприятие не представлява инвестиция.</w:t>
      </w:r>
    </w:p>
    <w:p w:rsidR="00414388" w:rsidRPr="00CB333D" w:rsidRDefault="002B0DD0" w:rsidP="000773EE">
      <w:pPr>
        <w:pStyle w:val="NumPar1"/>
        <w:numPr>
          <w:ilvl w:val="0"/>
          <w:numId w:val="9"/>
        </w:numPr>
      </w:pPr>
      <w:r w:rsidRPr="00CB333D">
        <w:t>Нематериалните активи трябва да отговарят на следните условия:</w:t>
      </w:r>
    </w:p>
    <w:p w:rsidR="00414388" w:rsidRPr="00CB333D" w:rsidRDefault="007C5AE0" w:rsidP="007C5AE0">
      <w:pPr>
        <w:pStyle w:val="Point1"/>
      </w:pPr>
      <w:r>
        <w:t>а)</w:t>
      </w:r>
      <w:r w:rsidRPr="007C5AE0">
        <w:tab/>
      </w:r>
      <w:r w:rsidR="00414388" w:rsidRPr="00CB333D">
        <w:t xml:space="preserve">да бъдат използвани единствено в предприятието, което получава помощта; и </w:t>
      </w:r>
    </w:p>
    <w:p w:rsidR="00414388" w:rsidRPr="00CB333D" w:rsidRDefault="007C5AE0" w:rsidP="007C5AE0">
      <w:pPr>
        <w:pStyle w:val="Point1"/>
      </w:pPr>
      <w:r>
        <w:t>б)</w:t>
      </w:r>
      <w:r w:rsidRPr="007C5AE0">
        <w:tab/>
      </w:r>
      <w:r w:rsidR="00414388" w:rsidRPr="00CB333D">
        <w:t>да се считат за активи, подлежащи на амортизация; и</w:t>
      </w:r>
    </w:p>
    <w:p w:rsidR="00414388" w:rsidRPr="00CB333D" w:rsidRDefault="007C5AE0" w:rsidP="007C5AE0">
      <w:pPr>
        <w:pStyle w:val="Point1"/>
      </w:pPr>
      <w:r>
        <w:t>в)</w:t>
      </w:r>
      <w:r w:rsidRPr="007C5AE0">
        <w:tab/>
      </w:r>
      <w:r w:rsidR="00414388" w:rsidRPr="00CB333D">
        <w:t>да бъдат закупени при пазарни условия от трети страни, несвързани с купувача; и</w:t>
      </w:r>
    </w:p>
    <w:p w:rsidR="00414388" w:rsidRPr="00CB333D" w:rsidRDefault="007C5AE0" w:rsidP="007C5AE0">
      <w:pPr>
        <w:pStyle w:val="Point1"/>
      </w:pPr>
      <w:r>
        <w:t>г)</w:t>
      </w:r>
      <w:r w:rsidRPr="007C5AE0">
        <w:tab/>
      </w:r>
      <w:r w:rsidR="00414388" w:rsidRPr="00CB333D">
        <w:t xml:space="preserve">да са включени в активите на предприятието за най-малко три години. </w:t>
      </w:r>
    </w:p>
    <w:p w:rsidR="00414388" w:rsidRPr="00CB333D" w:rsidRDefault="002B0DD0" w:rsidP="000773EE">
      <w:pPr>
        <w:pStyle w:val="NumPar1"/>
        <w:numPr>
          <w:ilvl w:val="0"/>
          <w:numId w:val="9"/>
        </w:numPr>
      </w:pPr>
      <w:r w:rsidRPr="00CB333D">
        <w:t>Трудовата заетост, създадена пряко от инвестиционен проект, трябва да отговаря на следните условия:</w:t>
      </w:r>
    </w:p>
    <w:p w:rsidR="00414388" w:rsidRPr="00CB333D" w:rsidRDefault="007C5AE0" w:rsidP="007C5AE0">
      <w:pPr>
        <w:pStyle w:val="Point1"/>
      </w:pPr>
      <w:r>
        <w:t>а)</w:t>
      </w:r>
      <w:r w:rsidRPr="007C5AE0">
        <w:tab/>
      </w:r>
      <w:r w:rsidR="00414388" w:rsidRPr="00CB333D">
        <w:t>заетостта е създадена в срок от три години от реализирането на инвестицията;</w:t>
      </w:r>
    </w:p>
    <w:p w:rsidR="00414388" w:rsidRPr="00CB333D" w:rsidRDefault="007C5AE0" w:rsidP="007C5AE0">
      <w:pPr>
        <w:pStyle w:val="Point1"/>
      </w:pPr>
      <w:r>
        <w:t>б)</w:t>
      </w:r>
      <w:r w:rsidRPr="007C5AE0">
        <w:tab/>
      </w:r>
      <w:r w:rsidR="00414388" w:rsidRPr="00CB333D">
        <w:t>инвестиционният проект води до нетно увеличение на броя на служителите в съответния стопански обект в сравнение със средния им брой през предходните дванадесет месеца;</w:t>
      </w:r>
    </w:p>
    <w:p w:rsidR="00414388" w:rsidRPr="00CB333D" w:rsidRDefault="007C5AE0" w:rsidP="007C5AE0">
      <w:pPr>
        <w:pStyle w:val="Point1"/>
      </w:pPr>
      <w:r>
        <w:t>в)</w:t>
      </w:r>
      <w:r w:rsidRPr="007C5AE0">
        <w:tab/>
      </w:r>
      <w:r w:rsidR="00414388" w:rsidRPr="00CB333D">
        <w:t>създадената трудова заетост се поддържа за минимален период от три години, считано от датата, на която съответното работно място е заето за пръв път.</w:t>
      </w:r>
    </w:p>
    <w:p w:rsidR="00414388" w:rsidRPr="00CB333D" w:rsidRDefault="00414388" w:rsidP="000773EE">
      <w:pPr>
        <w:pStyle w:val="NumPar1"/>
        <w:numPr>
          <w:ilvl w:val="0"/>
          <w:numId w:val="9"/>
        </w:numPr>
      </w:pPr>
      <w:r w:rsidRPr="00CB333D">
        <w:t>Интензитетът на помощ не превишава:</w:t>
      </w:r>
    </w:p>
    <w:p w:rsidR="00414388" w:rsidRPr="00CB333D" w:rsidRDefault="007C5AE0" w:rsidP="007C5AE0">
      <w:pPr>
        <w:pStyle w:val="Point1"/>
      </w:pPr>
      <w:r>
        <w:t>а)</w:t>
      </w:r>
      <w:r w:rsidRPr="007C5AE0">
        <w:tab/>
      </w:r>
      <w:r w:rsidR="00414388" w:rsidRPr="00CB333D">
        <w:t>20 % от допустимите разходи за малки предприятия;</w:t>
      </w:r>
    </w:p>
    <w:p w:rsidR="00414388" w:rsidRPr="00CB333D" w:rsidRDefault="007C5AE0" w:rsidP="007C5AE0">
      <w:pPr>
        <w:pStyle w:val="Point1"/>
      </w:pPr>
      <w:r>
        <w:t>б)</w:t>
      </w:r>
      <w:r w:rsidRPr="007C5AE0">
        <w:tab/>
      </w:r>
      <w:r w:rsidR="00414388" w:rsidRPr="00CB333D">
        <w:t xml:space="preserve">10 % от допустимите разходи за средни предприятия. </w:t>
      </w:r>
    </w:p>
    <w:p w:rsidR="009C08A3" w:rsidRPr="00CB333D" w:rsidRDefault="00F05D31" w:rsidP="00F05D31">
      <w:pPr>
        <w:pStyle w:val="Titrearticle"/>
      </w:pPr>
      <w:r w:rsidRPr="00CB333D">
        <w:t>Член 18</w:t>
      </w:r>
      <w:r w:rsidRPr="00CB333D">
        <w:br/>
      </w:r>
      <w:r w:rsidRPr="00CB333D">
        <w:rPr>
          <w:b/>
        </w:rPr>
        <w:t>Помощи за участие на МСП в панаири</w:t>
      </w:r>
    </w:p>
    <w:p w:rsidR="009C08A3" w:rsidRPr="00CB333D" w:rsidRDefault="009C08A3" w:rsidP="000773EE">
      <w:pPr>
        <w:pStyle w:val="NumPar1"/>
        <w:numPr>
          <w:ilvl w:val="0"/>
          <w:numId w:val="47"/>
        </w:numPr>
      </w:pPr>
      <w:r w:rsidRPr="00CB333D">
        <w:t>Помощите за участие на МСП в панаири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w:t>
      </w:r>
    </w:p>
    <w:p w:rsidR="00A70767" w:rsidRPr="00CB333D" w:rsidRDefault="009C08A3" w:rsidP="000773EE">
      <w:pPr>
        <w:pStyle w:val="NumPar1"/>
        <w:numPr>
          <w:ilvl w:val="0"/>
          <w:numId w:val="9"/>
        </w:numPr>
      </w:pPr>
      <w:r w:rsidRPr="00CB333D">
        <w:t>Допустими са разходите, направени за наемане, подреждане и обслужване на щанд при първо участие на предприятие в който и да е панаир или в което и да е изложение.</w:t>
      </w:r>
    </w:p>
    <w:p w:rsidR="009C08A3" w:rsidRPr="00CB333D" w:rsidRDefault="00A70767" w:rsidP="000773EE">
      <w:pPr>
        <w:pStyle w:val="NumPar1"/>
        <w:numPr>
          <w:ilvl w:val="0"/>
          <w:numId w:val="9"/>
        </w:numPr>
      </w:pPr>
      <w:r w:rsidRPr="00CB333D">
        <w:t>Интензитетът на помощ не надвишава 50 % от допустимите разходи.</w:t>
      </w:r>
    </w:p>
    <w:p w:rsidR="00BD7C70" w:rsidRPr="00CB333D" w:rsidRDefault="00F05D31" w:rsidP="00BD7C70">
      <w:pPr>
        <w:pStyle w:val="Titrearticle"/>
        <w:rPr>
          <w:b/>
        </w:rPr>
      </w:pPr>
      <w:r w:rsidRPr="00CB333D">
        <w:t>Член 19</w:t>
      </w:r>
      <w:r w:rsidRPr="00CB333D">
        <w:br/>
      </w:r>
      <w:r w:rsidRPr="00CB333D">
        <w:rPr>
          <w:b/>
        </w:rPr>
        <w:t xml:space="preserve">Помощи за МСП за разходи за сътрудничество, свързани с проекти по цел „Европейското териториално сътрудничество </w:t>
      </w:r>
    </w:p>
    <w:p w:rsidR="00BD7C70" w:rsidRPr="00CB333D" w:rsidRDefault="00BD7C70" w:rsidP="000773EE">
      <w:pPr>
        <w:pStyle w:val="NumPar1"/>
        <w:numPr>
          <w:ilvl w:val="0"/>
          <w:numId w:val="46"/>
        </w:numPr>
      </w:pPr>
      <w:r w:rsidRPr="00CB333D">
        <w:t xml:space="preserve">Помощите за разходи за сътрудничество, понесени от МСП при участието им в Европейското териториално сътрудничество, обхванати от Регламент [COM(2011)611 ЕФРР/ЕТС],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w:t>
      </w:r>
      <w:r w:rsidRPr="00CB333D">
        <w:fldChar w:fldCharType="begin"/>
      </w:r>
      <w:r w:rsidRPr="00CB333D">
        <w:instrText xml:space="preserve"> REF ChapterI \h  \* MERGEFORMAT </w:instrText>
      </w:r>
      <w:r w:rsidRPr="00CB333D">
        <w:fldChar w:fldCharType="separate"/>
      </w:r>
      <w:r w:rsidR="00CB3162" w:rsidRPr="00CB333D">
        <w:t>I</w:t>
      </w:r>
      <w:r w:rsidRPr="00CB333D">
        <w:fldChar w:fldCharType="end"/>
      </w:r>
      <w:r w:rsidRPr="00CB333D">
        <w:t>.</w:t>
      </w:r>
    </w:p>
    <w:p w:rsidR="00BD7C70" w:rsidRPr="00CB333D" w:rsidRDefault="00BD7C70" w:rsidP="000773EE">
      <w:pPr>
        <w:pStyle w:val="NumPar1"/>
        <w:numPr>
          <w:ilvl w:val="0"/>
          <w:numId w:val="9"/>
        </w:numPr>
      </w:pPr>
      <w:r w:rsidRPr="00CB333D">
        <w:t>Допустимите разходи са следните:</w:t>
      </w:r>
    </w:p>
    <w:p w:rsidR="00BD7C70" w:rsidRPr="00CB333D" w:rsidRDefault="007C5AE0" w:rsidP="007C5AE0">
      <w:pPr>
        <w:pStyle w:val="Point1"/>
      </w:pPr>
      <w:r>
        <w:t>а)</w:t>
      </w:r>
      <w:r w:rsidRPr="007C5AE0">
        <w:tab/>
      </w:r>
      <w:r w:rsidR="00BD7C70" w:rsidRPr="00CB333D">
        <w:t>разходи за организационно сътрудничество, включително разходи за персонал и офиси, доколкото те са свързани с проекта за сътрудничество;</w:t>
      </w:r>
    </w:p>
    <w:p w:rsidR="00BD7C70" w:rsidRPr="00CB333D" w:rsidRDefault="007C5AE0" w:rsidP="007C5AE0">
      <w:pPr>
        <w:pStyle w:val="Point1"/>
      </w:pPr>
      <w:r>
        <w:t>б)</w:t>
      </w:r>
      <w:r w:rsidRPr="007C5AE0">
        <w:tab/>
      </w:r>
      <w:r w:rsidR="00BD7C70" w:rsidRPr="00CB333D">
        <w:t>разходи за консултантски и помощни услуги, свързани със сътрудничество и предоставени от външни консултанти и доставчици на услуги;</w:t>
      </w:r>
    </w:p>
    <w:p w:rsidR="00BD7C70" w:rsidRPr="00CB333D" w:rsidRDefault="007C5AE0" w:rsidP="007C5AE0">
      <w:pPr>
        <w:pStyle w:val="Point1"/>
      </w:pPr>
      <w:r>
        <w:t>в)</w:t>
      </w:r>
      <w:r w:rsidRPr="007C5AE0">
        <w:tab/>
      </w:r>
      <w:r w:rsidR="00BD7C70" w:rsidRPr="00CB333D">
        <w:t>разходи за пътуване, разходи за оборудване и инвестиции, доставки, пряко свързани с проекта, амортизация на инструменти и оборудване, доколкото те се използват само за проекта.</w:t>
      </w:r>
    </w:p>
    <w:p w:rsidR="00BD7C70" w:rsidRPr="00CB333D" w:rsidRDefault="00BD7C70" w:rsidP="000773EE">
      <w:pPr>
        <w:pStyle w:val="NumPar1"/>
        <w:numPr>
          <w:ilvl w:val="0"/>
          <w:numId w:val="9"/>
        </w:numPr>
      </w:pPr>
      <w:r w:rsidRPr="00CB333D">
        <w:t>Услугите, посочени в параграф 2, буква б) по-горе, не са постоянна или периодична дейност, нито са свързани с обичайните оперативни разходи на предприятието, като рутинните услуги за данъчни консултации, редовни юридически консултации или реклама.</w:t>
      </w:r>
    </w:p>
    <w:p w:rsidR="00515D40" w:rsidRPr="00CB333D" w:rsidRDefault="00BD7C70" w:rsidP="000773EE">
      <w:pPr>
        <w:pStyle w:val="NumPar1"/>
        <w:numPr>
          <w:ilvl w:val="0"/>
          <w:numId w:val="9"/>
        </w:numPr>
        <w:rPr>
          <w:u w:val="single"/>
        </w:rPr>
      </w:pPr>
      <w:r w:rsidRPr="00CB333D">
        <w:t>Размерът на помощта не надвишава 50 % от допустимите разходи.</w:t>
      </w:r>
    </w:p>
    <w:p w:rsidR="00E401E6" w:rsidRPr="00CB333D" w:rsidRDefault="00E401E6" w:rsidP="00F05D31">
      <w:pPr>
        <w:pStyle w:val="SectionTitle"/>
        <w:spacing w:before="360"/>
      </w:pPr>
      <w:bookmarkStart w:id="14" w:name="_Toc377391820"/>
      <w:r w:rsidRPr="00CB333D">
        <w:t>Раздел 3 — Помощи за достъп на МСП до финансиране</w:t>
      </w:r>
      <w:bookmarkEnd w:id="14"/>
      <w:r w:rsidRPr="00CB333D">
        <w:tab/>
      </w:r>
    </w:p>
    <w:p w:rsidR="00671CFD" w:rsidRPr="00CB333D" w:rsidRDefault="00F05D31" w:rsidP="00671CFD">
      <w:pPr>
        <w:pStyle w:val="Titrearticle"/>
        <w:rPr>
          <w:b/>
          <w:i w:val="0"/>
        </w:rPr>
      </w:pPr>
      <w:r w:rsidRPr="00CB333D">
        <w:t>Член 20</w:t>
      </w:r>
      <w:r w:rsidRPr="00CB333D">
        <w:br/>
      </w:r>
      <w:r w:rsidRPr="00CB333D">
        <w:rPr>
          <w:b/>
          <w:i w:val="0"/>
        </w:rPr>
        <w:t>Помощи за рисково финансиране</w:t>
      </w:r>
    </w:p>
    <w:p w:rsidR="00671CFD" w:rsidRPr="00CB333D" w:rsidRDefault="00671CFD" w:rsidP="000773EE">
      <w:pPr>
        <w:pStyle w:val="NumPar1"/>
        <w:numPr>
          <w:ilvl w:val="0"/>
          <w:numId w:val="45"/>
        </w:numPr>
      </w:pPr>
      <w:r w:rsidRPr="00CB333D">
        <w:t>Помощите за рисково финансиране в полза на МСП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w:t>
      </w:r>
    </w:p>
    <w:p w:rsidR="00671CFD" w:rsidRPr="00CB333D" w:rsidRDefault="00671CFD" w:rsidP="00E03D90">
      <w:pPr>
        <w:pStyle w:val="NumPar1"/>
      </w:pPr>
      <w:r w:rsidRPr="00CB333D">
        <w:t>На равнище финансови посредници помощите за рисково финансиране в полза на независими частни инвеститори могат да бъдат под формата на:</w:t>
      </w:r>
    </w:p>
    <w:p w:rsidR="00671CFD" w:rsidRPr="00CB333D" w:rsidRDefault="007C5AE0" w:rsidP="007C5AE0">
      <w:pPr>
        <w:pStyle w:val="Point1"/>
      </w:pPr>
      <w:r>
        <w:t>а)</w:t>
      </w:r>
      <w:r w:rsidRPr="007C5AE0">
        <w:tab/>
      </w:r>
      <w:r w:rsidR="00671CFD" w:rsidRPr="00CB333D">
        <w:t>капиталово или квазикапиталово участие, финансова дотация за предоставянето на инвестиции за рисково финансиране пряко или непряко на допустимите предприятия;</w:t>
      </w:r>
    </w:p>
    <w:p w:rsidR="00671CFD" w:rsidRPr="00CB333D" w:rsidRDefault="007C5AE0" w:rsidP="007C5AE0">
      <w:pPr>
        <w:pStyle w:val="Point1"/>
      </w:pPr>
      <w:r>
        <w:t>б)</w:t>
      </w:r>
      <w:r w:rsidRPr="007C5AE0">
        <w:tab/>
      </w:r>
      <w:r w:rsidR="00671CFD" w:rsidRPr="00CB333D">
        <w:t xml:space="preserve">заеми за предоставянето на инвестиции за рисково финансиране пряко или непряко на допустимите предприятия; </w:t>
      </w:r>
    </w:p>
    <w:p w:rsidR="00671CFD" w:rsidRPr="00CB333D" w:rsidRDefault="007C5AE0" w:rsidP="007C5AE0">
      <w:pPr>
        <w:pStyle w:val="Point1"/>
      </w:pPr>
      <w:r>
        <w:t>в)</w:t>
      </w:r>
      <w:r w:rsidRPr="007C5AE0">
        <w:tab/>
      </w:r>
      <w:r w:rsidR="00671CFD" w:rsidRPr="00CB333D">
        <w:t>гаранции за покриване на загубите от инвестиции за рисково финансиране пряко или непряко на допустимите предприятия.</w:t>
      </w:r>
    </w:p>
    <w:p w:rsidR="00671CFD" w:rsidRPr="00CB333D" w:rsidRDefault="00671CFD" w:rsidP="00E03D90">
      <w:pPr>
        <w:pStyle w:val="NumPar1"/>
      </w:pPr>
      <w:r w:rsidRPr="00CB333D">
        <w:t xml:space="preserve">На равнище независими частни инвеститори, помощите за рисково финансиране могат да са под формите, посочени в параграф 2 от настоящия член, или под формата на данъчни стимули, доколкото частните инвеститори са физически лица, предоставящи рисково финансиране пряко или непряко на допустимите предприятия. </w:t>
      </w:r>
    </w:p>
    <w:p w:rsidR="00671CFD" w:rsidRPr="00CB333D" w:rsidRDefault="00671CFD" w:rsidP="00E03D90">
      <w:pPr>
        <w:pStyle w:val="NumPar1"/>
      </w:pPr>
      <w:r w:rsidRPr="00CB333D">
        <w:t xml:space="preserve">На равнище допустими предприятия помощите за рисково финансиране могат да са под формата на дялови, квазикапиталови инвестиции, заеми, гаранции или комбинация от тях. </w:t>
      </w:r>
    </w:p>
    <w:p w:rsidR="00671CFD" w:rsidRPr="00CB333D" w:rsidRDefault="00671CFD" w:rsidP="00E03D90">
      <w:pPr>
        <w:pStyle w:val="NumPar1"/>
      </w:pPr>
      <w:r w:rsidRPr="00CB333D">
        <w:t>Допустими са предприятията, чиито акции не се котират на фондова борса към момента на първоначалната инвестиция за рисково финансиране и които отговарят на едно от следните условия:</w:t>
      </w:r>
    </w:p>
    <w:p w:rsidR="00671CFD" w:rsidRPr="00CB333D" w:rsidRDefault="007C5AE0" w:rsidP="007C5AE0">
      <w:pPr>
        <w:pStyle w:val="Point1"/>
      </w:pPr>
      <w:r>
        <w:t>а)</w:t>
      </w:r>
      <w:r w:rsidRPr="007C5AE0">
        <w:tab/>
      </w:r>
      <w:r w:rsidR="00671CFD" w:rsidRPr="00CB333D">
        <w:t xml:space="preserve">те не упражняват дейност на нито един пазар; </w:t>
      </w:r>
    </w:p>
    <w:p w:rsidR="00671CFD" w:rsidRPr="00CB333D" w:rsidRDefault="007C5AE0" w:rsidP="007C5AE0">
      <w:pPr>
        <w:pStyle w:val="Point1"/>
      </w:pPr>
      <w:r>
        <w:t>б)</w:t>
      </w:r>
      <w:r w:rsidRPr="007C5AE0">
        <w:tab/>
      </w:r>
      <w:r w:rsidR="00671CFD" w:rsidRPr="00CB333D">
        <w:t xml:space="preserve">те упражняват дейност на всякакъв пазар по-малко от [7] години след първата си търговска продажба; </w:t>
      </w:r>
    </w:p>
    <w:p w:rsidR="00671CFD" w:rsidRPr="00CB333D" w:rsidRDefault="007C5AE0" w:rsidP="007C5AE0">
      <w:pPr>
        <w:pStyle w:val="Point1"/>
      </w:pPr>
      <w:r>
        <w:t>в)</w:t>
      </w:r>
      <w:r w:rsidRPr="007C5AE0">
        <w:tab/>
      </w:r>
      <w:r w:rsidR="00671CFD" w:rsidRPr="00CB333D">
        <w:t>те се нуждаят от първоначална инвестиция за рисково финансиране, която, въз основа на бизнес план, изготвен с цел навлизането на нов продуктов или географски пазар, надвишава 50 % от средния им годишен оборот през предходните 5 години.</w:t>
      </w:r>
    </w:p>
    <w:p w:rsidR="00671CFD" w:rsidRPr="00CB333D" w:rsidRDefault="00671CFD" w:rsidP="00E03D90">
      <w:pPr>
        <w:pStyle w:val="NumPar1"/>
      </w:pPr>
      <w:r w:rsidRPr="00CB333D">
        <w:t xml:space="preserve">Помощите за рисково финансиране могат също да обхващат последващи инвестиции в допустими предприятия, включително след 7-годишния период, посочен в параграф 5, буква б) от настоящия член, ако са изпълнени следните кумулативни условия: </w:t>
      </w:r>
    </w:p>
    <w:p w:rsidR="00671CFD" w:rsidRPr="00CB333D" w:rsidRDefault="007C5AE0" w:rsidP="007C5AE0">
      <w:pPr>
        <w:pStyle w:val="Point1"/>
      </w:pPr>
      <w:r>
        <w:t>а)</w:t>
      </w:r>
      <w:r w:rsidRPr="007C5AE0">
        <w:tab/>
      </w:r>
      <w:r w:rsidR="00671CFD" w:rsidRPr="00CB333D">
        <w:t xml:space="preserve">не е надвишен общият размер на рисково финансиране, посочен в параграф 9; </w:t>
      </w:r>
    </w:p>
    <w:p w:rsidR="00671CFD" w:rsidRPr="00CB333D" w:rsidRDefault="007C5AE0" w:rsidP="007C5AE0">
      <w:pPr>
        <w:pStyle w:val="Point1"/>
      </w:pPr>
      <w:r>
        <w:t>б)</w:t>
      </w:r>
      <w:r w:rsidRPr="007C5AE0">
        <w:tab/>
      </w:r>
      <w:r w:rsidR="00671CFD" w:rsidRPr="00CB333D">
        <w:t>последващите инвестиции са предвидени в първоначалния бизнес план;</w:t>
      </w:r>
    </w:p>
    <w:p w:rsidR="00671CFD" w:rsidRPr="00CB333D" w:rsidRDefault="007C5AE0" w:rsidP="007C5AE0">
      <w:pPr>
        <w:pStyle w:val="Point1"/>
      </w:pPr>
      <w:r>
        <w:t>в)</w:t>
      </w:r>
      <w:r w:rsidRPr="007C5AE0">
        <w:tab/>
      </w:r>
      <w:r w:rsidR="00671CFD" w:rsidRPr="00CB333D">
        <w:t>предприятието, което получава последващи инвестиции, не е станало свързано по смисъла на член 3 от приложение II, с друго предприятие, различно от финансовия посредник или независимия частен инвеститор, предоставящ рисково финансиране по мярката, освен ако новият субект не изпълнява условията от определението за МСП по смисъла на приложение II.</w:t>
      </w:r>
    </w:p>
    <w:p w:rsidR="00671CFD" w:rsidRPr="00CB333D" w:rsidRDefault="00671CFD" w:rsidP="00E03D90">
      <w:pPr>
        <w:pStyle w:val="NumPar1"/>
      </w:pPr>
      <w:r w:rsidRPr="00CB333D">
        <w:t xml:space="preserve">Що се отнася до капиталовите и квазикапиталовите инвестиции в допустими предприятия, по мярката за рисково финансиране може да се отпусне помощ за заместващ капитал само ако той е съчетан с нов капитал, представляващ най-малко [50 %] от всеки инвестиционен кръг в допустимите предприятия. </w:t>
      </w:r>
    </w:p>
    <w:p w:rsidR="00671CFD" w:rsidRPr="00CB333D" w:rsidRDefault="00671CFD" w:rsidP="00E03D90">
      <w:pPr>
        <w:pStyle w:val="NumPar1"/>
      </w:pPr>
      <w:r w:rsidRPr="00CB333D">
        <w:t>Що се отнася до до капиталовите и квазикапиталовите, за които се прилага параграф 2, буква а) от настоящия член, за управлението на ликвидността могат да се използват не повече от 30 % от съвкупния капиталов принос на финансовия посредник и от записания и непоискан от него капитал.</w:t>
      </w:r>
    </w:p>
    <w:p w:rsidR="00671CFD" w:rsidRPr="00CB333D" w:rsidRDefault="00671CFD" w:rsidP="00E03D90">
      <w:pPr>
        <w:pStyle w:val="NumPar1"/>
      </w:pPr>
      <w:r w:rsidRPr="00CB333D">
        <w:t xml:space="preserve">Общият размер на рисковото финансиране, посочен в параграф 4 от настоящия член, не може да превишава [15] млн. EUR за предприятие, допустимо до мярка за рисково финансиране. </w:t>
      </w:r>
    </w:p>
    <w:p w:rsidR="00671CFD" w:rsidRPr="00CB333D" w:rsidRDefault="00671CFD" w:rsidP="00E03D90">
      <w:pPr>
        <w:pStyle w:val="NumPar1"/>
      </w:pPr>
      <w:r w:rsidRPr="00CB333D">
        <w:t>Мерките за рисково финансиране, състоящи се от капиталови, квазикапиталови инвестиции и заеми в полза на допустими предприятия, трябва да привлекат допълнително финансиране от независими частни инвеститори на равнище финансови посредници или допустими предприятия, така че общият процент на частно участие да достигне следните минимални прагове:</w:t>
      </w:r>
    </w:p>
    <w:p w:rsidR="00671CFD" w:rsidRPr="00CB333D" w:rsidRDefault="007C5AE0" w:rsidP="007C5AE0">
      <w:pPr>
        <w:pStyle w:val="Point1"/>
      </w:pPr>
      <w:r>
        <w:t>а)</w:t>
      </w:r>
      <w:r w:rsidRPr="007C5AE0">
        <w:tab/>
      </w:r>
      <w:r w:rsidR="00671CFD" w:rsidRPr="00CB333D">
        <w:t>[10 %] от рисковото финансиране, предоставено на допустимите предприятия, преди първата им търговска продажба на всякакъв пазар;</w:t>
      </w:r>
    </w:p>
    <w:p w:rsidR="00671CFD" w:rsidRPr="00CB333D" w:rsidRDefault="007C5AE0" w:rsidP="007C5AE0">
      <w:pPr>
        <w:pStyle w:val="Point1"/>
      </w:pPr>
      <w:r>
        <w:t>б)</w:t>
      </w:r>
      <w:r w:rsidRPr="007C5AE0">
        <w:tab/>
      </w:r>
      <w:r w:rsidR="00671CFD" w:rsidRPr="00CB333D">
        <w:t>[40 %] от рисковото финансиране, предоставено на допустимите предприятия, посочени в параграф 4 от настоящия член;</w:t>
      </w:r>
    </w:p>
    <w:p w:rsidR="00671CFD" w:rsidRPr="00CB333D" w:rsidRDefault="007C5AE0" w:rsidP="007C5AE0">
      <w:pPr>
        <w:pStyle w:val="Point1"/>
      </w:pPr>
      <w:r>
        <w:t>в)</w:t>
      </w:r>
      <w:r w:rsidRPr="007C5AE0">
        <w:tab/>
      </w:r>
      <w:r w:rsidR="00671CFD" w:rsidRPr="00CB333D">
        <w:t>[60 %] от рисковото финансиране, предоставено на допустимите предприятия, посочени в параграф 5, буква в) от настоящия член, а за последващи инвестиции в допустими предприятия след 7-годишния период, посочен в параграф 5, буква б) от настоящия член.</w:t>
      </w:r>
    </w:p>
    <w:p w:rsidR="00671CFD" w:rsidRPr="00CB333D" w:rsidRDefault="00671CFD" w:rsidP="00E03D90">
      <w:pPr>
        <w:pStyle w:val="NumPar1"/>
      </w:pPr>
      <w:r w:rsidRPr="00CB333D">
        <w:t>В случай че мярката за рисково финансиране е предназначена за допустими предприятия на различни етапи от тяхното развитие, както е посочено в параграф 10, букви а), б) и в) от настоящия член, мярката трябва да постигне общ процент на частно участие, който представлява най-малко:</w:t>
      </w:r>
    </w:p>
    <w:p w:rsidR="00671CFD" w:rsidRPr="00CB333D" w:rsidRDefault="007C5AE0" w:rsidP="007C5AE0">
      <w:pPr>
        <w:pStyle w:val="Point1"/>
      </w:pPr>
      <w:r>
        <w:t>а)</w:t>
      </w:r>
      <w:r w:rsidRPr="007C5AE0">
        <w:tab/>
      </w:r>
      <w:r w:rsidR="00671CFD" w:rsidRPr="00CB333D">
        <w:t xml:space="preserve">40 %, когато съответното портфолио включва инвестиции в предприятията, посочени в параграф 10, буква а) от настоящия член, или </w:t>
      </w:r>
    </w:p>
    <w:p w:rsidR="00671CFD" w:rsidRPr="00CB333D" w:rsidRDefault="007C5AE0" w:rsidP="007C5AE0">
      <w:pPr>
        <w:pStyle w:val="Point1"/>
      </w:pPr>
      <w:r>
        <w:t>б)</w:t>
      </w:r>
      <w:r w:rsidRPr="007C5AE0">
        <w:tab/>
      </w:r>
      <w:r w:rsidR="00671CFD" w:rsidRPr="00CB333D">
        <w:t xml:space="preserve">среднопретеглена стойност, която би се получила от прилагането към отделните инвестиции в съответния портфейл на минималните проценти на участие, посочени в параграф 10, букви а), б) и в) от настоящия член. </w:t>
      </w:r>
    </w:p>
    <w:p w:rsidR="00671CFD" w:rsidRPr="00CB333D" w:rsidRDefault="00671CFD" w:rsidP="00E03D90">
      <w:pPr>
        <w:pStyle w:val="NumPar1"/>
      </w:pPr>
      <w:r w:rsidRPr="00CB333D">
        <w:t xml:space="preserve">В мярката за рисково финансиране не се допуска дискриминация между финансовите посредници въз основа на тяхното място на установяване или регистриране независимо от държавата членка. От финансовите посредници може да се изисква да изпълняват предварително определени критерии, които са обективно оправдани с естеството на инвестициите. </w:t>
      </w:r>
    </w:p>
    <w:p w:rsidR="00671CFD" w:rsidRPr="00CB333D" w:rsidRDefault="00671CFD" w:rsidP="00E03D90">
      <w:pPr>
        <w:pStyle w:val="NumPar1"/>
      </w:pPr>
      <w:r w:rsidRPr="00CB333D">
        <w:t xml:space="preserve">Мярката за рисково финансиране трябва да отговаря на следните условия: </w:t>
      </w:r>
    </w:p>
    <w:p w:rsidR="00671CFD" w:rsidRPr="00CB333D" w:rsidRDefault="007C5AE0" w:rsidP="007C5AE0">
      <w:pPr>
        <w:pStyle w:val="Point1"/>
      </w:pPr>
      <w:r>
        <w:t>а)</w:t>
      </w:r>
      <w:r w:rsidRPr="007C5AE0">
        <w:tab/>
      </w:r>
      <w:r w:rsidR="00671CFD" w:rsidRPr="00CB333D">
        <w:t>тя е приведена в действие чрез един или повече финансови посредници с изключение на данъчните стимули за частни инвеститори във връзка с преките им инвестиции в допустими предприятия;</w:t>
      </w:r>
    </w:p>
    <w:p w:rsidR="00671CFD" w:rsidRPr="00CB333D" w:rsidRDefault="007C5AE0" w:rsidP="007C5AE0">
      <w:pPr>
        <w:pStyle w:val="Point1"/>
      </w:pPr>
      <w:r>
        <w:t>б)</w:t>
      </w:r>
      <w:r w:rsidRPr="007C5AE0">
        <w:tab/>
      </w:r>
      <w:r w:rsidR="00671CFD" w:rsidRPr="00CB333D">
        <w:t xml:space="preserve">финансовите посредници, инвеститорите и управителите на фондове се подбират чрез открита, прозрачна и недискриминационна процедура, проведена в съответствие с приложимото национално право и правото на Съюза и предназначена за установяването на подходящи механизми за споделяне на рисковете и ползите, чрез които за инвестиции, различни от гаранциите, се отдава предпочитание на асиметричното разпределение на печалбата пред защитата срещу рисковете от загуби; </w:t>
      </w:r>
    </w:p>
    <w:p w:rsidR="00671CFD" w:rsidRPr="00CB333D" w:rsidRDefault="007C5AE0" w:rsidP="007C5AE0">
      <w:pPr>
        <w:pStyle w:val="Point1"/>
      </w:pPr>
      <w:r>
        <w:t>в)</w:t>
      </w:r>
      <w:r w:rsidRPr="007C5AE0">
        <w:tab/>
      </w:r>
      <w:r w:rsidR="00671CFD" w:rsidRPr="00CB333D">
        <w:t>в случай на асиметрично разпределяне на загубата между публичните и частните инвеститори, първата загуба, поета от публичния инвеститор, се ограничава до [25 %] от общия размер на направената от него инвестиция;</w:t>
      </w:r>
    </w:p>
    <w:p w:rsidR="00671CFD" w:rsidRPr="00CB333D" w:rsidRDefault="007C5AE0" w:rsidP="007C5AE0">
      <w:pPr>
        <w:pStyle w:val="Point1"/>
      </w:pPr>
      <w:r>
        <w:t>г)</w:t>
      </w:r>
      <w:r w:rsidRPr="007C5AE0">
        <w:tab/>
      </w:r>
      <w:r w:rsidR="00671CFD" w:rsidRPr="00CB333D">
        <w:t xml:space="preserve">в случай на гаранции по параграф 2, буква в) размерът на гаранцията е ограничен до [80 %], а границата на общите загуби, поети от съответната държава членка, е [25] % от съответния портфейл от гарантирани инвестиции. Само гаранциите, които покриват очакваните загуби на съответния портфейл от гарантирани инвестиции, могат да бъдат предоставени безплатно. Ако гаранция включва също неочаквани загуби, финансовият посредник изплаща, за частта от гаранция, покриваща неочакваните загуби, гаранционна премия, която съответства на пазарните условия. </w:t>
      </w:r>
    </w:p>
    <w:p w:rsidR="00671CFD" w:rsidRPr="00CB333D" w:rsidRDefault="00671CFD" w:rsidP="00E03D90">
      <w:pPr>
        <w:pStyle w:val="NumPar1"/>
      </w:pPr>
      <w:r w:rsidRPr="00CB333D">
        <w:t>За да се гарантира, че решенията за финансиране се вземат с цел постигане на печалба, трябва да бъдат изпълнени следните условия:</w:t>
      </w:r>
    </w:p>
    <w:p w:rsidR="00671CFD" w:rsidRPr="00CB333D" w:rsidRDefault="007C5AE0" w:rsidP="007C5AE0">
      <w:pPr>
        <w:pStyle w:val="Point1"/>
      </w:pPr>
      <w:r>
        <w:t>а)</w:t>
      </w:r>
      <w:r w:rsidRPr="007C5AE0">
        <w:tab/>
      </w:r>
      <w:r w:rsidR="00671CFD" w:rsidRPr="00CB333D">
        <w:t>финансовият посредник се учредява съгласно приложимите закони и се извършва финансов и правен анализ, за да се гарантира стабилна търговска инвестиционна стратегия, в това число подходяща политика за диверсификация на риска, насочена към постигането на икономическа жизнеспособност и ефективен мащаб по отношение на големината и териториалния обхват на неговия инвестиционен портфейл;</w:t>
      </w:r>
    </w:p>
    <w:p w:rsidR="00671CFD" w:rsidRPr="00CB333D" w:rsidRDefault="007C5AE0" w:rsidP="007C5AE0">
      <w:pPr>
        <w:pStyle w:val="Point1"/>
      </w:pPr>
      <w:r>
        <w:t>б)</w:t>
      </w:r>
      <w:r w:rsidRPr="007C5AE0">
        <w:tab/>
      </w:r>
      <w:r w:rsidR="00671CFD" w:rsidRPr="00CB333D">
        <w:t xml:space="preserve">предоставянето на рисково финансиране на допустими предприятия се основава на надежден бизнес план, който съдържа подробности за развитието на продукта, продажбите и рентабилността и с който се установява </w:t>
      </w:r>
      <w:r w:rsidR="00671CFD" w:rsidRPr="00CB333D">
        <w:rPr>
          <w:i/>
        </w:rPr>
        <w:t>ex ante</w:t>
      </w:r>
      <w:r w:rsidR="00671CFD" w:rsidRPr="00CB333D">
        <w:t xml:space="preserve"> финансовата жизнеспособност, както и</w:t>
      </w:r>
    </w:p>
    <w:p w:rsidR="00671CFD" w:rsidRPr="00CB333D" w:rsidRDefault="007C5AE0" w:rsidP="007C5AE0">
      <w:pPr>
        <w:pStyle w:val="Point1"/>
      </w:pPr>
      <w:r>
        <w:t>в)</w:t>
      </w:r>
      <w:r w:rsidRPr="007C5AE0">
        <w:tab/>
      </w:r>
      <w:r w:rsidR="00671CFD" w:rsidRPr="00CB333D">
        <w:t>за всяка капиталова и квазикапиталова инвестиция е налице ясна и реалистична стратегия за излизане.</w:t>
      </w:r>
    </w:p>
    <w:p w:rsidR="00671CFD" w:rsidRPr="00CB333D" w:rsidRDefault="00671CFD" w:rsidP="00E03D90">
      <w:pPr>
        <w:pStyle w:val="NumPar1"/>
      </w:pPr>
      <w:r w:rsidRPr="00CB333D">
        <w:t>Финансовите посредници се управляват на търговски принцип. Счита се, че това изискване е изпълнено, когато финансовият посредник и, в зависимост от вида на мярката за рисково финансиране, управителят на фонда, отговарят на следните условия:</w:t>
      </w:r>
    </w:p>
    <w:p w:rsidR="00671CFD" w:rsidRPr="00CB333D" w:rsidRDefault="007C5AE0" w:rsidP="007C5AE0">
      <w:pPr>
        <w:pStyle w:val="Point1"/>
      </w:pPr>
      <w:r>
        <w:t>а)</w:t>
      </w:r>
      <w:r w:rsidRPr="007C5AE0">
        <w:tab/>
      </w:r>
      <w:r w:rsidR="00671CFD" w:rsidRPr="00CB333D">
        <w:t xml:space="preserve">те са задължени по закон или договор да действат добросъвестно и с грижата на професионален управител, както и да избягват конфликтите на интереси. Те прилагат най-добрите практики и подлежат на регулаторно наблюдение. </w:t>
      </w:r>
    </w:p>
    <w:p w:rsidR="00671CFD" w:rsidRPr="00CB333D" w:rsidRDefault="007C5AE0" w:rsidP="007C5AE0">
      <w:pPr>
        <w:pStyle w:val="Point1"/>
      </w:pPr>
      <w:r>
        <w:t>б)</w:t>
      </w:r>
      <w:r w:rsidRPr="007C5AE0">
        <w:tab/>
      </w:r>
      <w:r w:rsidR="00671CFD" w:rsidRPr="00CB333D">
        <w:t xml:space="preserve">тяхното възнаграждение съответства на пазарните практики. Това изискване се счита за изпълнено, когато управителят или финансовият посредник е избран чрез открита, прозрачна и недискриминационна конкурентна процедура въз основа на обективни критерии, свързани с опита, експертните знания и оперативния и финансовия капацитет; </w:t>
      </w:r>
    </w:p>
    <w:p w:rsidR="00671CFD" w:rsidRPr="00CB333D" w:rsidRDefault="007C5AE0" w:rsidP="007C5AE0">
      <w:pPr>
        <w:pStyle w:val="Point1"/>
      </w:pPr>
      <w:r>
        <w:t>в)</w:t>
      </w:r>
      <w:r w:rsidRPr="007C5AE0">
        <w:tab/>
      </w:r>
      <w:r w:rsidR="00671CFD" w:rsidRPr="00CB333D">
        <w:t xml:space="preserve">те получават възнаграждение, обвързано с постигнатите резултати, или споделят част от инвестиционните рискове, като съинвестират собствени средства, така че техните интереси постоянно да отговарят на интересите на публичния инвеститор; </w:t>
      </w:r>
    </w:p>
    <w:p w:rsidR="00671CFD" w:rsidRPr="00CB333D" w:rsidRDefault="007C5AE0" w:rsidP="007C5AE0">
      <w:pPr>
        <w:pStyle w:val="Point1"/>
      </w:pPr>
      <w:r>
        <w:t>г)</w:t>
      </w:r>
      <w:r w:rsidRPr="007C5AE0">
        <w:tab/>
      </w:r>
      <w:r w:rsidR="00671CFD" w:rsidRPr="00CB333D">
        <w:t xml:space="preserve">те изготвят инвестиционната стратегия, критериите и графика на инвестициите; </w:t>
      </w:r>
    </w:p>
    <w:p w:rsidR="00671CFD" w:rsidRPr="00CB333D" w:rsidRDefault="007C5AE0" w:rsidP="007C5AE0">
      <w:pPr>
        <w:pStyle w:val="Point1"/>
      </w:pPr>
      <w:r>
        <w:t>д)</w:t>
      </w:r>
      <w:r w:rsidRPr="007C5AE0">
        <w:tab/>
      </w:r>
      <w:r w:rsidR="00671CFD" w:rsidRPr="00CB333D">
        <w:t>на инвеститорите се разрешава да бъдат представени в органите, натоварени с управлението на инвестиционния фонд, като например надзорния съвет или консултативния комитет.</w:t>
      </w:r>
    </w:p>
    <w:p w:rsidR="00671CFD" w:rsidRPr="00CB333D" w:rsidRDefault="00671CFD" w:rsidP="00E03D90">
      <w:pPr>
        <w:pStyle w:val="NumPar1"/>
      </w:pPr>
      <w:r w:rsidRPr="00CB333D">
        <w:t xml:space="preserve">Мерките за рисково финансиране, състоящи се от заеми или гаранции в полза на допустими предприятия, трябва да отговарят на следните условия: </w:t>
      </w:r>
    </w:p>
    <w:p w:rsidR="00671CFD" w:rsidRPr="00CB333D" w:rsidRDefault="007C5AE0" w:rsidP="007C5AE0">
      <w:pPr>
        <w:pStyle w:val="Point1"/>
      </w:pPr>
      <w:r>
        <w:t>а)</w:t>
      </w:r>
      <w:r w:rsidRPr="007C5AE0">
        <w:tab/>
      </w:r>
      <w:r w:rsidR="00671CFD" w:rsidRPr="00CB333D">
        <w:t>в резултат на мярката финансовият посредник предприема инвестиции, които без помощта не биха били осъществени или биха били ограничени или осъществени по различен начин. Финансовият посредник трябва да е в състояние да докаже, че експлоатира механизъм, който гарантира, че всички предимства са прехвърлени във възможно най-голяма степен на крайните бенефициери под формата на по-големи обеми финансиране, по-рискови портфейли, по-ниски изисквания за обезпечение, по-ниски гаранционни премии или по-ниски лихви;</w:t>
      </w:r>
    </w:p>
    <w:p w:rsidR="00671CFD" w:rsidRPr="00CB333D" w:rsidRDefault="007C5AE0" w:rsidP="007C5AE0">
      <w:pPr>
        <w:pStyle w:val="Point1"/>
      </w:pPr>
      <w:r>
        <w:t>б)</w:t>
      </w:r>
      <w:r w:rsidRPr="007C5AE0">
        <w:tab/>
      </w:r>
      <w:r w:rsidR="00671CFD" w:rsidRPr="00CB333D">
        <w:t>в случай на заем неговият номинален размер се взема предвид при изчисляването на максималния размер на инвестицията за целите на параграф 9 от настоящия член;</w:t>
      </w:r>
    </w:p>
    <w:p w:rsidR="00671CFD" w:rsidRPr="00CB333D" w:rsidRDefault="007C5AE0" w:rsidP="007C5AE0">
      <w:pPr>
        <w:pStyle w:val="Point1"/>
      </w:pPr>
      <w:r>
        <w:t>в)</w:t>
      </w:r>
      <w:r w:rsidRPr="007C5AE0">
        <w:tab/>
      </w:r>
      <w:r w:rsidR="00671CFD" w:rsidRPr="00CB333D">
        <w:t>в случай на гаранция номиналният размер на съответния заем, за който се издава гаранцията, се взема предвид при изчисляването на максималния размер на инвестицията за целите на параграф 9 от настоящия член. Гаранцията не може да превишава 80 % от заема, който я поражда.</w:t>
      </w:r>
    </w:p>
    <w:p w:rsidR="00671CFD" w:rsidRPr="00CB333D" w:rsidRDefault="00671CFD" w:rsidP="00E03D90">
      <w:pPr>
        <w:pStyle w:val="NumPar1"/>
      </w:pPr>
      <w:r w:rsidRPr="00CB333D">
        <w:t xml:space="preserve">Държавата членка може да повери изпълнението на мярка за рисково финансиране на упълномощен субект. </w:t>
      </w:r>
    </w:p>
    <w:p w:rsidR="00671CFD" w:rsidRPr="00CB333D" w:rsidRDefault="00671CFD" w:rsidP="00E03D90">
      <w:pPr>
        <w:pStyle w:val="NumPar1"/>
      </w:pPr>
      <w:r w:rsidRPr="00CB333D">
        <w:t>Помощите за рисково финансиране в полза на МСП, които не изпълняват условията, посочени в параграф 5,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w:t>
      </w:r>
    </w:p>
    <w:p w:rsidR="00671CFD" w:rsidRPr="00CB333D" w:rsidRDefault="007C5AE0" w:rsidP="007C5AE0">
      <w:pPr>
        <w:pStyle w:val="Point1"/>
      </w:pPr>
      <w:r>
        <w:t>а)</w:t>
      </w:r>
      <w:r w:rsidRPr="007C5AE0">
        <w:tab/>
      </w:r>
      <w:r w:rsidR="00671CFD" w:rsidRPr="00CB333D">
        <w:t>На равнище МСП помощите отговарят на условията, определени в Регламент [заменящ (EО) № 1998/2006], и</w:t>
      </w:r>
    </w:p>
    <w:p w:rsidR="00671CFD" w:rsidRPr="00CB333D" w:rsidRDefault="007C5AE0" w:rsidP="007C5AE0">
      <w:pPr>
        <w:pStyle w:val="Point1"/>
      </w:pPr>
      <w:r>
        <w:t>б)</w:t>
      </w:r>
      <w:r w:rsidRPr="007C5AE0">
        <w:tab/>
      </w:r>
      <w:r w:rsidR="00671CFD" w:rsidRPr="00CB333D">
        <w:t xml:space="preserve">Всички условия, посочени в настоящия член, с изключение посочените в параграфи 5, 6, 9, 10 и 11, са изпълнени, и </w:t>
      </w:r>
    </w:p>
    <w:p w:rsidR="00671CFD" w:rsidRPr="00CB333D" w:rsidRDefault="007C5AE0" w:rsidP="007C5AE0">
      <w:pPr>
        <w:pStyle w:val="Point1"/>
      </w:pPr>
      <w:r>
        <w:t>в)</w:t>
      </w:r>
      <w:r w:rsidRPr="007C5AE0">
        <w:tab/>
      </w:r>
      <w:r w:rsidR="00671CFD" w:rsidRPr="00CB333D">
        <w:t>За мерките за рисково финансиране, състоящи се от капиталови, квазикапиталови инвестиции или инвестиции под формата на заем, в полза на допустими предприятия, мярката трябва да привлече допълнително финансиране от независими частни инвеститори на равнище финансови посредници или МСП, така че общият процент на частно участие да достигне поне [60 %] от рисковото финансиране, отпуснато на МСП.</w:t>
      </w:r>
    </w:p>
    <w:p w:rsidR="00085C6F" w:rsidRPr="00CB333D" w:rsidRDefault="00F05D31" w:rsidP="00262C52">
      <w:pPr>
        <w:pStyle w:val="Titrearticle"/>
        <w:rPr>
          <w:b/>
        </w:rPr>
      </w:pPr>
      <w:r w:rsidRPr="00CB333D">
        <w:t>Член 21</w:t>
      </w:r>
      <w:r w:rsidRPr="00CB333D">
        <w:br/>
      </w:r>
      <w:r w:rsidRPr="00CB333D">
        <w:rPr>
          <w:b/>
        </w:rPr>
        <w:t>Помощи за стартиращи предприятия</w:t>
      </w:r>
    </w:p>
    <w:p w:rsidR="00085C6F" w:rsidRPr="00CB333D" w:rsidRDefault="00085C6F" w:rsidP="000773EE">
      <w:pPr>
        <w:pStyle w:val="NumPar1"/>
        <w:numPr>
          <w:ilvl w:val="0"/>
          <w:numId w:val="44"/>
        </w:numPr>
      </w:pPr>
      <w:r w:rsidRPr="00CB333D">
        <w:t xml:space="preserve">Схемите за помощ за новосъздадени предприятия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 </w:t>
      </w:r>
    </w:p>
    <w:p w:rsidR="00085C6F" w:rsidRPr="00CB333D" w:rsidRDefault="00085C6F" w:rsidP="000773EE">
      <w:pPr>
        <w:pStyle w:val="NumPar1"/>
        <w:numPr>
          <w:ilvl w:val="0"/>
          <w:numId w:val="9"/>
        </w:numPr>
      </w:pPr>
      <w:r w:rsidRPr="00CB333D">
        <w:t>За да отговарят на условията за подпомагане, предприятията трябва да не са регистрирани на фондовата борса до пет години след създаването си, все още да не са разпределяли печалби и да не са били създадени чрез сливане и които трябва да са:</w:t>
      </w:r>
    </w:p>
    <w:p w:rsidR="00085C6F" w:rsidRPr="00CB333D" w:rsidRDefault="007C5AE0" w:rsidP="007C5AE0">
      <w:pPr>
        <w:pStyle w:val="Point1"/>
      </w:pPr>
      <w:r>
        <w:t>а)</w:t>
      </w:r>
      <w:r w:rsidRPr="007C5AE0">
        <w:tab/>
      </w:r>
      <w:r w:rsidR="00085C6F" w:rsidRPr="00CB333D">
        <w:t>малки предприятия или</w:t>
      </w:r>
    </w:p>
    <w:p w:rsidR="00085C6F" w:rsidRPr="00CB333D" w:rsidRDefault="007C5AE0" w:rsidP="007C5AE0">
      <w:pPr>
        <w:pStyle w:val="Point1"/>
        <w:rPr>
          <w:rFonts w:eastAsia="Calibri"/>
        </w:rPr>
      </w:pPr>
      <w:r>
        <w:rPr>
          <w:rFonts w:eastAsia="Calibri"/>
        </w:rPr>
        <w:t>б)</w:t>
      </w:r>
      <w:r w:rsidRPr="007C5AE0">
        <w:rPr>
          <w:rFonts w:eastAsia="Calibri"/>
        </w:rPr>
        <w:tab/>
      </w:r>
      <w:r w:rsidR="00085C6F" w:rsidRPr="00CB333D">
        <w:t>малки и иновативни предприятия по смисъла на настоящия регламент.</w:t>
      </w:r>
    </w:p>
    <w:p w:rsidR="00085C6F" w:rsidRPr="00CB333D" w:rsidRDefault="00085C6F" w:rsidP="000773EE">
      <w:pPr>
        <w:pStyle w:val="NumPar1"/>
        <w:numPr>
          <w:ilvl w:val="0"/>
          <w:numId w:val="9"/>
        </w:numPr>
      </w:pPr>
      <w:r w:rsidRPr="00CB333D">
        <w:t>Помощта за новосъздадени предприятия е под формата на:</w:t>
      </w:r>
    </w:p>
    <w:p w:rsidR="00B6376D" w:rsidRPr="00CB333D" w:rsidRDefault="007C5AE0" w:rsidP="007C5AE0">
      <w:pPr>
        <w:pStyle w:val="Point1"/>
      </w:pPr>
      <w:r>
        <w:t>а)</w:t>
      </w:r>
      <w:r w:rsidRPr="007C5AE0">
        <w:tab/>
      </w:r>
      <w:r w:rsidR="00B6376D" w:rsidRPr="00CB333D">
        <w:t>заеми с лихвени проценти, които не съответстват на пазарните условия, с продължителност десет години и максимален номинален размер от [1] млн. EUR, или [1,5] млн. EUR за предприятия, установени в подпомагани региони, които отговарят на условията на член 107, параграф 3, буква в) от Договора, или [2] млн. EUR за предприятия, установени в подпомагани региони, които отговарят на условията на член 107, параграф 3, буква а) от Договора. За заеми с продължителност между 5 и 10 години максималните размери могат да бъдат коригирани, като посочените по-горе суми се умножат по съотношението 10 години/действителна продължителност на заема. За заеми с продължителност по-кратка от 5 години максималният размер следва да е същият, както за заеми с продължителност 5 години;</w:t>
      </w:r>
    </w:p>
    <w:p w:rsidR="00B6376D" w:rsidRPr="00CB333D" w:rsidRDefault="007C5AE0" w:rsidP="007C5AE0">
      <w:pPr>
        <w:pStyle w:val="Point1"/>
      </w:pPr>
      <w:r>
        <w:t>б)</w:t>
      </w:r>
      <w:r w:rsidRPr="007C5AE0">
        <w:tab/>
      </w:r>
      <w:r w:rsidR="00B6376D" w:rsidRPr="00CB333D">
        <w:t xml:space="preserve">гаранции с премии, които не съответстват на пазарните условия, с продължителност десет години и максимален номинален размер [1,5] млн. EUR, или [2,25] млн. EUR за предприятия, установени в подпомагани региони, които отговарят на условията на член 107, параграф 3, буква в) от Договора, или [3] млн. EUR за предприятия, установени в подпомагани региони, които отговарят на условията на член 107, параграф 3, буква а) от Договора. За гаранции с продължителност между 5 и 10 години максималните гарантирани размери от заема могат да бъдат коригирани, като посочените по-горе суми се умножат по съотношението 10 години/действителна продължителност на заема. За гаранции с продължителност по-кратка от 5 години, максималният размер следва да е същият, както за гаранции с продължителност 5 години. Гаранцията следва да не превишава 80 % от заема, за който е издадена. </w:t>
      </w:r>
    </w:p>
    <w:p w:rsidR="00085C6F" w:rsidRPr="00CB333D" w:rsidRDefault="007C5AE0" w:rsidP="007C5AE0">
      <w:pPr>
        <w:pStyle w:val="Point1"/>
      </w:pPr>
      <w:r>
        <w:t>в)</w:t>
      </w:r>
      <w:r w:rsidRPr="007C5AE0">
        <w:tab/>
      </w:r>
      <w:r w:rsidR="00085C6F" w:rsidRPr="00CB333D">
        <w:t xml:space="preserve">безвъзмездна помощ, включително капиталови или квазикапиталови инвестиции, намаление на лихвени проценти и гаранционни такси до [0,4] млн. EUR брутен еквивалент на безвъзмездна помощ или [0,6] млн. EUR за предприятия, установени в подпомагани региони, които отговарят на условията на член 107, параграф 3, буква в) от Договора, или [0,8] млн. EUR за предприятия, установени в подпомагани региони, които отговарят на условията на член 107, параграф 3, буква а) от Договора. </w:t>
      </w:r>
    </w:p>
    <w:p w:rsidR="00085C6F" w:rsidRPr="00CB333D" w:rsidRDefault="00085C6F" w:rsidP="000773EE">
      <w:pPr>
        <w:pStyle w:val="NumPar1"/>
        <w:numPr>
          <w:ilvl w:val="0"/>
          <w:numId w:val="9"/>
        </w:numPr>
      </w:pPr>
      <w:r w:rsidRPr="00CB333D">
        <w:t xml:space="preserve">Бенефициер може да получи подкрепа чрез комбинация от инструментите за помощ, посочени параграф 3, букви а) — в) от настоящия член, при условие че част от сумата, отпусната чрез един инструмент за помощ, изчислена въз основа на максималния размер на помощ, разрешен за този инструмент, се взема предвид, за да се определи оставащата част от максималния размер на помощ, разрешен за другите инструменти, влизащи в състава на такава комбинация от инструменти. </w:t>
      </w:r>
    </w:p>
    <w:p w:rsidR="00085C6F" w:rsidRPr="00CB333D" w:rsidRDefault="00085C6F" w:rsidP="000773EE">
      <w:pPr>
        <w:pStyle w:val="NumPar1"/>
        <w:numPr>
          <w:ilvl w:val="0"/>
          <w:numId w:val="9"/>
        </w:numPr>
      </w:pPr>
      <w:r w:rsidRPr="00CB333D">
        <w:t>За малките и иновативни предприятия максималните размери, посочени в параграф 3, могат да бъдат удвоени.</w:t>
      </w:r>
    </w:p>
    <w:p w:rsidR="00085C6F" w:rsidRPr="00CB333D" w:rsidRDefault="00F05D31" w:rsidP="00262C52">
      <w:pPr>
        <w:pStyle w:val="Titrearticle"/>
        <w:rPr>
          <w:b/>
        </w:rPr>
      </w:pPr>
      <w:r w:rsidRPr="00CB333D">
        <w:t>Член 22</w:t>
      </w:r>
      <w:r w:rsidRPr="00CB333D">
        <w:br/>
      </w:r>
      <w:r w:rsidRPr="00CB333D">
        <w:rPr>
          <w:b/>
        </w:rPr>
        <w:t>Помощ за алтернативни търговски платформи, специализирани в МСП</w:t>
      </w:r>
    </w:p>
    <w:p w:rsidR="00085C6F" w:rsidRPr="00CB333D" w:rsidRDefault="00085C6F" w:rsidP="000773EE">
      <w:pPr>
        <w:pStyle w:val="NumPar1"/>
        <w:numPr>
          <w:ilvl w:val="0"/>
          <w:numId w:val="43"/>
        </w:numPr>
      </w:pPr>
      <w:r w:rsidRPr="00CB333D">
        <w:t>Помощта за алтернативни търговски платформи, специализирани в МСП, е съвместима с вътрешния пазар по смисъла на член 107, параграф 3 от Договора и се освобождава от задължението за уведомяване по член 108, параграф 3 от Договора, ако са изпълнени условията, определени в настоящия член и в глава I.</w:t>
      </w:r>
    </w:p>
    <w:p w:rsidR="00085C6F" w:rsidRPr="00CB333D" w:rsidRDefault="00085C6F" w:rsidP="000773EE">
      <w:pPr>
        <w:pStyle w:val="NumPar1"/>
        <w:numPr>
          <w:ilvl w:val="0"/>
          <w:numId w:val="9"/>
        </w:numPr>
        <w:rPr>
          <w:rFonts w:eastAsia="Calibri"/>
        </w:rPr>
      </w:pPr>
      <w:r w:rsidRPr="00CB333D">
        <w:t xml:space="preserve">Когато операторът на платформата е малко предприятие, мярката за помощ може да бъде под формата на помощ за стартиращи предприятия в полза на оператора на платформата, като в този случай се прилагат условията, посочени в член 20. </w:t>
      </w:r>
    </w:p>
    <w:p w:rsidR="00085C6F" w:rsidRPr="00CB333D" w:rsidRDefault="00085C6F" w:rsidP="00BE3543">
      <w:pPr>
        <w:pStyle w:val="Text1"/>
      </w:pPr>
      <w:r w:rsidRPr="00CB333D">
        <w:t>Мярката за помощ може да бъде под формата на данъчни стимули за независими частни инвеститори, които са физически лица, във връзка с техните инвестиции за рисково финансиране, направени чрез алтернативна платформа за търговия в предприятията, допустими съгласно условията, предвидени в член 20.</w:t>
      </w:r>
    </w:p>
    <w:p w:rsidR="00085C6F" w:rsidRPr="00CB333D" w:rsidRDefault="00F05D31" w:rsidP="00262C52">
      <w:pPr>
        <w:pStyle w:val="Titrearticle"/>
        <w:rPr>
          <w:b/>
        </w:rPr>
      </w:pPr>
      <w:r w:rsidRPr="00CB333D">
        <w:t>Член 23</w:t>
      </w:r>
      <w:r w:rsidRPr="00CB333D">
        <w:br/>
      </w:r>
      <w:r w:rsidRPr="00CB333D">
        <w:rPr>
          <w:b/>
        </w:rPr>
        <w:t>Помощи за проучвателни разходи</w:t>
      </w:r>
    </w:p>
    <w:p w:rsidR="00085C6F" w:rsidRPr="00CB333D" w:rsidRDefault="00085C6F" w:rsidP="000773EE">
      <w:pPr>
        <w:pStyle w:val="NumPar1"/>
        <w:numPr>
          <w:ilvl w:val="0"/>
          <w:numId w:val="42"/>
        </w:numPr>
      </w:pPr>
      <w:r w:rsidRPr="00CB333D">
        <w:t>Помощи, покриващи част от разходите за проучване,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w:t>
      </w:r>
    </w:p>
    <w:p w:rsidR="00085C6F" w:rsidRPr="00CB333D" w:rsidRDefault="00085C6F" w:rsidP="000773EE">
      <w:pPr>
        <w:pStyle w:val="NumPar1"/>
        <w:numPr>
          <w:ilvl w:val="0"/>
          <w:numId w:val="9"/>
        </w:numPr>
      </w:pPr>
      <w:r w:rsidRPr="00CB333D">
        <w:t>Интензитетът на помощ надвишава [50] % от допустимите разходи.</w:t>
      </w:r>
    </w:p>
    <w:p w:rsidR="00085C6F" w:rsidRPr="00CB333D" w:rsidRDefault="00763120" w:rsidP="000773EE">
      <w:pPr>
        <w:pStyle w:val="NumPar1"/>
        <w:numPr>
          <w:ilvl w:val="0"/>
          <w:numId w:val="9"/>
        </w:numPr>
      </w:pPr>
      <w:r w:rsidRPr="00CB333D">
        <w:t>Допустимите разходи са разходите за първоначален преглед и официален финансов и правен анализ, извършени от управителите на финансови посредници или инвеститори за установяването на целевите предприятия.</w:t>
      </w:r>
    </w:p>
    <w:p w:rsidR="00085C6F" w:rsidRPr="00CB333D" w:rsidRDefault="00085C6F" w:rsidP="000773EE">
      <w:pPr>
        <w:pStyle w:val="NumPar1"/>
        <w:numPr>
          <w:ilvl w:val="0"/>
          <w:numId w:val="9"/>
        </w:numPr>
      </w:pPr>
      <w:r w:rsidRPr="00CB333D">
        <w:t>Помощта може да бъде под формата на безвъзмездни средства.</w:t>
      </w:r>
    </w:p>
    <w:p w:rsidR="00042815" w:rsidRPr="00CB333D" w:rsidRDefault="00042815" w:rsidP="00CC3F0B">
      <w:pPr>
        <w:pStyle w:val="SectionTitle"/>
        <w:spacing w:before="360"/>
      </w:pPr>
      <w:bookmarkStart w:id="15" w:name="_Toc377391821"/>
      <w:r w:rsidRPr="00CB333D">
        <w:t xml:space="preserve">Раздел </w:t>
      </w:r>
      <w:bookmarkStart w:id="16" w:name="Section3"/>
      <w:r w:rsidRPr="00CB333D">
        <w:t>4</w:t>
      </w:r>
      <w:bookmarkEnd w:id="16"/>
      <w:r w:rsidRPr="00CB333D">
        <w:t xml:space="preserve"> – Помощ за научноизследователска и развойна дейност и иновации</w:t>
      </w:r>
      <w:bookmarkEnd w:id="15"/>
    </w:p>
    <w:p w:rsidR="002A7C68" w:rsidRPr="00CB333D" w:rsidRDefault="00F05D31" w:rsidP="002A7C68">
      <w:pPr>
        <w:pStyle w:val="Titrearticle"/>
      </w:pPr>
      <w:r w:rsidRPr="00CB333D">
        <w:t>Член 24</w:t>
      </w:r>
      <w:r w:rsidRPr="00CB333D">
        <w:br/>
      </w:r>
      <w:r w:rsidRPr="00CB333D">
        <w:rPr>
          <w:b/>
        </w:rPr>
        <w:t>Помощи за проекти за научноизследователска и развойна дейност</w:t>
      </w:r>
    </w:p>
    <w:p w:rsidR="002A7C68" w:rsidRPr="00CB333D" w:rsidRDefault="002A7C68" w:rsidP="000773EE">
      <w:pPr>
        <w:pStyle w:val="NumPar1"/>
        <w:numPr>
          <w:ilvl w:val="0"/>
          <w:numId w:val="41"/>
        </w:numPr>
      </w:pPr>
      <w:r w:rsidRPr="00CB333D">
        <w:t>Помощта за проекти за научноизследователска и развойна дейност е съвместима с вътрешния пазар по смисъла на член 107, параграф 3 от Договора и се освобождава от задължението за уведомяване по член 108, параграф 3 от Договора, ако са изпълнени условията, определени в настоящия член и в глава I.</w:t>
      </w:r>
    </w:p>
    <w:p w:rsidR="002A7C68" w:rsidRPr="00CB333D" w:rsidRDefault="002A7C68" w:rsidP="000773EE">
      <w:pPr>
        <w:pStyle w:val="NumPar1"/>
        <w:numPr>
          <w:ilvl w:val="0"/>
          <w:numId w:val="9"/>
        </w:numPr>
      </w:pPr>
      <w:r w:rsidRPr="00CB333D">
        <w:t>Подпомаганата част от проекта за научноизследователска и развойна дейност попада изцяло в рамките на една или повече от следните категории:</w:t>
      </w:r>
    </w:p>
    <w:p w:rsidR="002A7C68" w:rsidRPr="00CB333D" w:rsidRDefault="007C5AE0" w:rsidP="007C5AE0">
      <w:pPr>
        <w:pStyle w:val="Point1"/>
      </w:pPr>
      <w:r>
        <w:t>а)</w:t>
      </w:r>
      <w:r w:rsidRPr="007C5AE0">
        <w:tab/>
      </w:r>
      <w:r w:rsidR="002A7C68" w:rsidRPr="00CB333D">
        <w:t>фундаментални научни изследвания;</w:t>
      </w:r>
    </w:p>
    <w:p w:rsidR="002A7C68" w:rsidRPr="00CB333D" w:rsidRDefault="007C5AE0" w:rsidP="007C5AE0">
      <w:pPr>
        <w:pStyle w:val="Point1"/>
      </w:pPr>
      <w:r>
        <w:t>б)</w:t>
      </w:r>
      <w:r w:rsidRPr="007C5AE0">
        <w:tab/>
      </w:r>
      <w:r w:rsidR="002A7C68" w:rsidRPr="00CB333D">
        <w:t>индустриални научни изследвания;</w:t>
      </w:r>
    </w:p>
    <w:p w:rsidR="002A7C68" w:rsidRPr="00CB333D" w:rsidRDefault="007C5AE0" w:rsidP="007C5AE0">
      <w:pPr>
        <w:pStyle w:val="Point1"/>
      </w:pPr>
      <w:r>
        <w:t>в)</w:t>
      </w:r>
      <w:r w:rsidRPr="007C5AE0">
        <w:tab/>
      </w:r>
      <w:r w:rsidR="002A7C68" w:rsidRPr="00CB333D">
        <w:t>експериментално развитие;</w:t>
      </w:r>
    </w:p>
    <w:p w:rsidR="002A7C68" w:rsidRPr="00CB333D" w:rsidRDefault="007C5AE0" w:rsidP="007C5AE0">
      <w:pPr>
        <w:pStyle w:val="Point1"/>
      </w:pPr>
      <w:r>
        <w:t>г)</w:t>
      </w:r>
      <w:r w:rsidRPr="007C5AE0">
        <w:tab/>
      </w:r>
      <w:r w:rsidR="002A7C68" w:rsidRPr="00CB333D">
        <w:t>проучвания на осъществимостта.</w:t>
      </w:r>
    </w:p>
    <w:p w:rsidR="002A7C68" w:rsidRPr="00CB333D" w:rsidRDefault="002A7C68" w:rsidP="000773EE">
      <w:pPr>
        <w:pStyle w:val="NumPar1"/>
        <w:numPr>
          <w:ilvl w:val="0"/>
          <w:numId w:val="9"/>
        </w:numPr>
      </w:pPr>
      <w:r w:rsidRPr="00CB333D">
        <w:t>Допустимите разходи се разпределят към определена категория научноизследователска и развойна дейност и са следните:</w:t>
      </w:r>
    </w:p>
    <w:p w:rsidR="002A7C68" w:rsidRPr="00CB333D" w:rsidRDefault="00CD56DC" w:rsidP="00CD56DC">
      <w:pPr>
        <w:pStyle w:val="Point1"/>
      </w:pPr>
      <w:r>
        <w:t>а)</w:t>
      </w:r>
      <w:r w:rsidRPr="00CD56DC">
        <w:tab/>
      </w:r>
      <w:r w:rsidR="002A7C68" w:rsidRPr="00CB333D">
        <w:t>разходи за персонал (изследователи, специализиран технически персонал и друг помощен персонал, доколкото те са наети за научноизследователския проект);</w:t>
      </w:r>
    </w:p>
    <w:p w:rsidR="002A7C68" w:rsidRPr="00CB333D" w:rsidRDefault="00CD56DC" w:rsidP="00CD56DC">
      <w:pPr>
        <w:pStyle w:val="Point1"/>
      </w:pPr>
      <w:r>
        <w:t>б)</w:t>
      </w:r>
      <w:r w:rsidRPr="00CD56DC">
        <w:tab/>
      </w:r>
      <w:r w:rsidR="002A7C68" w:rsidRPr="00CB333D">
        <w:t xml:space="preserve">разходи за инструменти, оборудване, сгради и земя, доколкото те се използват, и за периода, през който се използват за подпомагания проект; </w:t>
      </w:r>
    </w:p>
    <w:p w:rsidR="002A7C68" w:rsidRPr="00CB333D" w:rsidRDefault="00CD56DC" w:rsidP="00CD56DC">
      <w:pPr>
        <w:pStyle w:val="Point1"/>
      </w:pPr>
      <w:r>
        <w:t>в)</w:t>
      </w:r>
      <w:r w:rsidRPr="00CD56DC">
        <w:tab/>
      </w:r>
      <w:r w:rsidR="002A7C68" w:rsidRPr="00CB333D">
        <w:t>разходи за научноизследователска дейност по договор, технически знания и патенти, закупени или лицензирани от външни източници чрез сделка между несвързани лица при справедливи пазарни условия, както и разходи за консултантски и еквивалентни на тях услуги, използвани изключително за проекта;</w:t>
      </w:r>
    </w:p>
    <w:p w:rsidR="002A7C68" w:rsidRPr="00CB333D" w:rsidRDefault="00CD56DC" w:rsidP="00CD56DC">
      <w:pPr>
        <w:pStyle w:val="Point1"/>
      </w:pPr>
      <w:r>
        <w:t>г)</w:t>
      </w:r>
      <w:r w:rsidRPr="00CD56DC">
        <w:tab/>
      </w:r>
      <w:r w:rsidR="002A7C68" w:rsidRPr="00CB333D">
        <w:t>допълнителни режийни разходи и други оперативни разходи, включително разходи за материали, консумативи и други подобни продукти, възникнали пряко в резултат от проекта;</w:t>
      </w:r>
    </w:p>
    <w:p w:rsidR="002A7C68" w:rsidRPr="00CB333D" w:rsidRDefault="002A7C68" w:rsidP="000773EE">
      <w:pPr>
        <w:pStyle w:val="NumPar1"/>
        <w:numPr>
          <w:ilvl w:val="0"/>
          <w:numId w:val="9"/>
        </w:numPr>
      </w:pPr>
      <w:r w:rsidRPr="00CB333D">
        <w:t xml:space="preserve">Когато резултатът от подпомаган проект са търговски използваеми прототипи или пилотни продукти, нетните приходи, пряко свързани с тяхната последваща търговска употреба през първите пет години след завършването на проекта, се приспадат от допустимите разходи. Приспадането може да бъде извършено или </w:t>
      </w:r>
      <w:r w:rsidRPr="00CB333D">
        <w:rPr>
          <w:i/>
        </w:rPr>
        <w:t>ex ante</w:t>
      </w:r>
      <w:r w:rsidRPr="00CB333D">
        <w:t xml:space="preserve">, като се вземе предвид сконтираната стойност на нетните приходи, които е разумно да се очакват към датата на отпускане на помощта, или </w:t>
      </w:r>
      <w:r w:rsidRPr="00CB333D">
        <w:rPr>
          <w:i/>
        </w:rPr>
        <w:t>ex pos</w:t>
      </w:r>
      <w:r w:rsidRPr="00CB333D">
        <w:t>t, като се изиска да бъде възстановена сконтираната стойност на действителния размер на нетните приходи, получени от бенефициера през тези пет години.</w:t>
      </w:r>
    </w:p>
    <w:p w:rsidR="002A7C68" w:rsidRPr="00CB333D" w:rsidRDefault="002A7C68" w:rsidP="000773EE">
      <w:pPr>
        <w:pStyle w:val="NumPar1"/>
        <w:numPr>
          <w:ilvl w:val="0"/>
          <w:numId w:val="9"/>
        </w:numPr>
      </w:pPr>
      <w:r w:rsidRPr="00CB333D">
        <w:t>Допустимите разходи за проучванията на осъществимостта са разходите за проучването.</w:t>
      </w:r>
    </w:p>
    <w:p w:rsidR="002A7C68" w:rsidRPr="00CB333D" w:rsidRDefault="002A7C68" w:rsidP="000773EE">
      <w:pPr>
        <w:pStyle w:val="NumPar1"/>
        <w:numPr>
          <w:ilvl w:val="0"/>
          <w:numId w:val="9"/>
        </w:numPr>
      </w:pPr>
      <w:r w:rsidRPr="00CB333D">
        <w:t>Интензитетът на помощ за всеки получател не надвишава:</w:t>
      </w:r>
    </w:p>
    <w:p w:rsidR="002A7C68" w:rsidRPr="00CB333D" w:rsidRDefault="00CD56DC" w:rsidP="00CD56DC">
      <w:pPr>
        <w:pStyle w:val="Point1"/>
      </w:pPr>
      <w:r>
        <w:t>а)</w:t>
      </w:r>
      <w:r w:rsidRPr="00CD56DC">
        <w:tab/>
      </w:r>
      <w:r w:rsidR="002A7C68" w:rsidRPr="00CB333D">
        <w:t>100 % от допустимите разходи за фундаментални научни изследвания;</w:t>
      </w:r>
    </w:p>
    <w:p w:rsidR="002A7C68" w:rsidRPr="00CB333D" w:rsidRDefault="00CD56DC" w:rsidP="00CD56DC">
      <w:pPr>
        <w:pStyle w:val="Point1"/>
      </w:pPr>
      <w:r>
        <w:t>б)</w:t>
      </w:r>
      <w:r w:rsidRPr="00CD56DC">
        <w:tab/>
      </w:r>
      <w:r w:rsidR="002A7C68" w:rsidRPr="00CB333D">
        <w:t>[50] % от допустимите разходи за индустриални научни изследвания;</w:t>
      </w:r>
    </w:p>
    <w:p w:rsidR="002A7C68" w:rsidRPr="00CB333D" w:rsidRDefault="00CD56DC" w:rsidP="00CD56DC">
      <w:pPr>
        <w:pStyle w:val="Point1"/>
      </w:pPr>
      <w:r>
        <w:t>в)</w:t>
      </w:r>
      <w:r w:rsidRPr="00CD56DC">
        <w:tab/>
      </w:r>
      <w:r w:rsidR="002A7C68" w:rsidRPr="00CB333D">
        <w:t>[25] % от допустимите разходи за експериментално развитие;</w:t>
      </w:r>
    </w:p>
    <w:p w:rsidR="002A7C68" w:rsidRPr="00CB333D" w:rsidRDefault="00CD56DC" w:rsidP="00CD56DC">
      <w:pPr>
        <w:pStyle w:val="Point1"/>
      </w:pPr>
      <w:r>
        <w:t>г)</w:t>
      </w:r>
      <w:r w:rsidRPr="00CD56DC">
        <w:tab/>
      </w:r>
      <w:r w:rsidR="002A7C68" w:rsidRPr="00CB333D">
        <w:t>[50] % от допустимите разходи за проучвания на осъществимостта.</w:t>
      </w:r>
    </w:p>
    <w:p w:rsidR="002A7C68" w:rsidRPr="00CB333D" w:rsidRDefault="002A7C68" w:rsidP="000773EE">
      <w:pPr>
        <w:pStyle w:val="NumPar1"/>
        <w:numPr>
          <w:ilvl w:val="0"/>
          <w:numId w:val="9"/>
        </w:numPr>
      </w:pPr>
      <w:r w:rsidRPr="00CB333D">
        <w:t>Интензитетите на помощта за индустриални научни изследвания и експериментално развитие може да бъдат увеличени до максималния интензитет на помощта от 80 % от допустимите разходи, както следва:</w:t>
      </w:r>
    </w:p>
    <w:p w:rsidR="002A7C68" w:rsidRPr="00CB333D" w:rsidRDefault="00CD56DC" w:rsidP="00CD56DC">
      <w:pPr>
        <w:pStyle w:val="Point1"/>
      </w:pPr>
      <w:r>
        <w:t>а)</w:t>
      </w:r>
      <w:r w:rsidRPr="00CD56DC">
        <w:tab/>
      </w:r>
      <w:r w:rsidR="002A7C68" w:rsidRPr="00CB333D">
        <w:t>с 10 процентни пункта за средни предприятия и с 20 процентни пункта за малки предприятия;</w:t>
      </w:r>
    </w:p>
    <w:p w:rsidR="002A7C68" w:rsidRPr="00CB333D" w:rsidRDefault="00CD56DC" w:rsidP="00CD56DC">
      <w:pPr>
        <w:pStyle w:val="Point1"/>
      </w:pPr>
      <w:r>
        <w:t>б)</w:t>
      </w:r>
      <w:r w:rsidRPr="00CD56DC">
        <w:tab/>
      </w:r>
      <w:r w:rsidR="002A7C68" w:rsidRPr="00CB333D">
        <w:t>с 15 процентни пункта, ако:</w:t>
      </w:r>
    </w:p>
    <w:p w:rsidR="002A7C68" w:rsidRPr="00CB333D" w:rsidRDefault="002A7C68" w:rsidP="002A7C68">
      <w:pPr>
        <w:pStyle w:val="Point2"/>
      </w:pPr>
      <w:r w:rsidRPr="00CB333D">
        <w:t>i)</w:t>
      </w:r>
      <w:r w:rsidRPr="00CB333D">
        <w:tab/>
        <w:t>проектът включва ефективно сътрудничество с участието на поне едно МСП или се осъществява в поне две държави членки и нито едно предприятие не поема повече от 70 % от допустимите разходи, или участва поне една организация за научни изследвания и разпространение на знания, която понася сама или заедно с други такива организации най-малко 10 % от допустимите разходи и разполага с правото да публикува резултатите от собствените си научни изследвания; или</w:t>
      </w:r>
    </w:p>
    <w:p w:rsidR="002A7C68" w:rsidRPr="00CB333D" w:rsidRDefault="002A7C68" w:rsidP="002A7C68">
      <w:pPr>
        <w:pStyle w:val="Point2"/>
        <w:rPr>
          <w:b/>
          <w:i/>
        </w:rPr>
      </w:pPr>
      <w:r w:rsidRPr="00CB333D">
        <w:t>(ii)</w:t>
      </w:r>
      <w:r w:rsidRPr="00CB333D">
        <w:tab/>
        <w:t xml:space="preserve">резултатите от проекта се разпространяват широко чрез конференции, публикации, отворени за достъп регистри или безплатен софтуер или софтуер с отворен код. </w:t>
      </w:r>
    </w:p>
    <w:p w:rsidR="002A7C68" w:rsidRPr="00CB333D" w:rsidRDefault="00F05D31" w:rsidP="002A7C68">
      <w:pPr>
        <w:pStyle w:val="Titrearticle"/>
      </w:pPr>
      <w:r w:rsidRPr="00CB333D">
        <w:t>Член 25</w:t>
      </w:r>
      <w:r w:rsidRPr="00CB333D">
        <w:br/>
      </w:r>
      <w:r w:rsidRPr="00CB333D">
        <w:rPr>
          <w:b/>
        </w:rPr>
        <w:t>Инвестиционна помощ за научноизследователски инфраструктури</w:t>
      </w:r>
    </w:p>
    <w:p w:rsidR="002A7C68" w:rsidRPr="00CB333D" w:rsidRDefault="002A7C68" w:rsidP="000773EE">
      <w:pPr>
        <w:pStyle w:val="NumPar1"/>
        <w:numPr>
          <w:ilvl w:val="0"/>
          <w:numId w:val="40"/>
        </w:numPr>
      </w:pPr>
      <w:r w:rsidRPr="00CB333D">
        <w:t>Помощта за изграждането или модернизирането на научноизследователски инфраструктури, които извършват стопанска дейност, е съвместима с вътрешния пазар по смисъла на член 107, параграф 3 от Договора и се освобождава от задължението за уведомяване по член 108, параграф 3 от Договора, ако са изпълнени условията, определени в настоящия член и в глава I.</w:t>
      </w:r>
    </w:p>
    <w:p w:rsidR="002A7C68" w:rsidRPr="00CB333D" w:rsidRDefault="002A7C68" w:rsidP="000773EE">
      <w:pPr>
        <w:pStyle w:val="NumPar1"/>
        <w:numPr>
          <w:ilvl w:val="0"/>
          <w:numId w:val="9"/>
        </w:numPr>
      </w:pPr>
      <w:r w:rsidRPr="00CB333D">
        <w:t>Когато дадена научноизследователска инфраструктура извършва както стопанска, така и нестопанска дейност, съответното им финансиране, разходи и приходи трябва да бъдат взети предвид поотделно въз основа на прилагани по последователен начин обективно оправдани принципи за осчетоводяване на разходите.</w:t>
      </w:r>
    </w:p>
    <w:p w:rsidR="002A7C68" w:rsidRPr="00CB333D" w:rsidRDefault="002A7C68" w:rsidP="000773EE">
      <w:pPr>
        <w:pStyle w:val="NumPar1"/>
        <w:numPr>
          <w:ilvl w:val="0"/>
          <w:numId w:val="9"/>
        </w:numPr>
      </w:pPr>
      <w:r w:rsidRPr="00CB333D">
        <w:t xml:space="preserve">Цената за експлоатацията или използването на инфраструктурата отговаря на пазарна цена. </w:t>
      </w:r>
    </w:p>
    <w:p w:rsidR="002A7C68" w:rsidRPr="00CB333D" w:rsidRDefault="002A7C68" w:rsidP="000773EE">
      <w:pPr>
        <w:pStyle w:val="NumPar1"/>
        <w:numPr>
          <w:ilvl w:val="0"/>
          <w:numId w:val="9"/>
        </w:numPr>
      </w:pPr>
      <w:r w:rsidRPr="00CB333D">
        <w:t xml:space="preserve">Достъпът до инфраструктурата е отворен за няколко ползватели и се предоставя на прозрачна и недискриминационна основа. Предприятия, които са финансирали поне [30] % от инвестиционните разходи за инфраструктурата, могат да получат преференциален достъп при по-изгодни условия, при условие че той е пропорционален на приноса на предприятието към разходите по проекта, за да се избегне свръхкомпенсация, и стига тези условия да са оповестени публично. </w:t>
      </w:r>
    </w:p>
    <w:p w:rsidR="002A7C68" w:rsidRPr="00CB333D" w:rsidRDefault="002A7C68" w:rsidP="000773EE">
      <w:pPr>
        <w:pStyle w:val="NumPar1"/>
        <w:numPr>
          <w:ilvl w:val="0"/>
          <w:numId w:val="9"/>
        </w:numPr>
      </w:pPr>
      <w:r w:rsidRPr="00CB333D">
        <w:t xml:space="preserve">Допустимите разходи са инвестиционните разходи в материални и нематериални активи. </w:t>
      </w:r>
    </w:p>
    <w:p w:rsidR="002A7C68" w:rsidRPr="00CB333D" w:rsidRDefault="002A7C68" w:rsidP="000773EE">
      <w:pPr>
        <w:pStyle w:val="NumPar1"/>
        <w:numPr>
          <w:ilvl w:val="0"/>
          <w:numId w:val="9"/>
        </w:numPr>
      </w:pPr>
      <w:r w:rsidRPr="00CB333D">
        <w:t xml:space="preserve">Интензитетът на помощ надвишава [50] % от допустимите разходи. </w:t>
      </w:r>
    </w:p>
    <w:p w:rsidR="002A7C68" w:rsidRPr="00CB333D" w:rsidRDefault="002A7C68" w:rsidP="000773EE">
      <w:pPr>
        <w:pStyle w:val="NumPar1"/>
        <w:numPr>
          <w:ilvl w:val="0"/>
          <w:numId w:val="9"/>
        </w:numPr>
      </w:pPr>
      <w:r w:rsidRPr="00CB333D">
        <w:t xml:space="preserve">Когато научноизследователска инфраструктура получава публично финансиране както за стопански, така и за нестопански дейности, държавите членки трябва да въведат механизъм за контрол и възстановяване предоставените средства, за да се гарантира, че приложимият интензитет на помощ не е надхвърлен в резултат от увеличаването на дела на стопанските дейности в сравнение с очакваното положение към датата на предоставяне на помощта. </w:t>
      </w:r>
    </w:p>
    <w:p w:rsidR="002A7C68" w:rsidRPr="00CB333D" w:rsidRDefault="00F05D31" w:rsidP="002A7C68">
      <w:pPr>
        <w:pStyle w:val="Titrearticle"/>
        <w:rPr>
          <w:b/>
          <w:color w:val="000000"/>
        </w:rPr>
      </w:pPr>
      <w:r w:rsidRPr="00CB333D">
        <w:rPr>
          <w:color w:val="000000"/>
        </w:rPr>
        <w:t>Член 26</w:t>
      </w:r>
      <w:r w:rsidRPr="00CB333D">
        <w:rPr>
          <w:color w:val="000000"/>
        </w:rPr>
        <w:br/>
      </w:r>
      <w:r w:rsidRPr="00CB333D">
        <w:rPr>
          <w:b/>
          <w:color w:val="000000"/>
        </w:rPr>
        <w:t>Помощи за иновационни клъстери</w:t>
      </w:r>
    </w:p>
    <w:p w:rsidR="002A7C68" w:rsidRPr="00CB333D" w:rsidRDefault="002A7C68" w:rsidP="000773EE">
      <w:pPr>
        <w:pStyle w:val="NumPar1"/>
        <w:numPr>
          <w:ilvl w:val="0"/>
          <w:numId w:val="39"/>
        </w:numPr>
        <w:rPr>
          <w:color w:val="000000"/>
        </w:rPr>
      </w:pPr>
      <w:r w:rsidRPr="00CB333D">
        <w:t>Помощите за иновационни клъстери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w:t>
      </w:r>
    </w:p>
    <w:p w:rsidR="002A7C68" w:rsidRPr="00CB333D" w:rsidRDefault="002A7C68" w:rsidP="000773EE">
      <w:pPr>
        <w:pStyle w:val="NumPar1"/>
        <w:numPr>
          <w:ilvl w:val="0"/>
          <w:numId w:val="9"/>
        </w:numPr>
        <w:rPr>
          <w:rFonts w:eastAsia="ArialUnicodeMS"/>
          <w:color w:val="000000"/>
        </w:rPr>
      </w:pPr>
      <w:r w:rsidRPr="00CB333D">
        <w:t>Помощите за иновационни клъстери се предоставят изключително на юридическото лице, ръководещо дейността на иновационния клъстер (клъстерна организация).</w:t>
      </w:r>
    </w:p>
    <w:p w:rsidR="002A7C68" w:rsidRPr="00CB333D" w:rsidRDefault="002A7C68" w:rsidP="000773EE">
      <w:pPr>
        <w:pStyle w:val="NumPar1"/>
        <w:numPr>
          <w:ilvl w:val="0"/>
          <w:numId w:val="9"/>
        </w:numPr>
        <w:rPr>
          <w:rFonts w:eastAsia="ArialUnicodeMS"/>
          <w:color w:val="000000"/>
        </w:rPr>
      </w:pPr>
      <w:r w:rsidRPr="00CB333D">
        <w:t>Достъпът е отворен за няколко ползватели и се предоставя на прозрачна и недискриминационна основа.</w:t>
      </w:r>
      <w:r w:rsidRPr="00CB333D">
        <w:rPr>
          <w:color w:val="000000"/>
        </w:rPr>
        <w:t xml:space="preserve"> </w:t>
      </w:r>
    </w:p>
    <w:p w:rsidR="002A7C68" w:rsidRPr="00CB333D" w:rsidRDefault="002A7C68" w:rsidP="000773EE">
      <w:pPr>
        <w:pStyle w:val="NumPar1"/>
        <w:numPr>
          <w:ilvl w:val="0"/>
          <w:numId w:val="9"/>
        </w:numPr>
        <w:rPr>
          <w:rFonts w:eastAsia="ArialUnicodeMS"/>
          <w:color w:val="000000"/>
        </w:rPr>
      </w:pPr>
      <w:r w:rsidRPr="00CB333D">
        <w:t>Таксите за ползване на съоръженията на клъстера и за участие в неговите дейности отговарят на пазарната цена или отразяват разходите за тези дейности и участие.</w:t>
      </w:r>
      <w:r w:rsidRPr="00CB333D">
        <w:rPr>
          <w:color w:val="000000"/>
        </w:rPr>
        <w:t xml:space="preserve"> </w:t>
      </w:r>
    </w:p>
    <w:p w:rsidR="002A7C68" w:rsidRPr="00CB333D" w:rsidRDefault="002A7C68" w:rsidP="000773EE">
      <w:pPr>
        <w:pStyle w:val="NumPar1"/>
        <w:numPr>
          <w:ilvl w:val="0"/>
          <w:numId w:val="9"/>
        </w:numPr>
        <w:rPr>
          <w:rFonts w:eastAsia="ArialUnicodeMS"/>
          <w:color w:val="000000"/>
        </w:rPr>
      </w:pPr>
      <w:r w:rsidRPr="00CB333D">
        <w:rPr>
          <w:color w:val="000000"/>
        </w:rPr>
        <w:t xml:space="preserve">Инвестиционни помощи могат да бъдат отпуснати за изграждането или модернизирането на клъстера. </w:t>
      </w:r>
      <w:r w:rsidRPr="00CB333D">
        <w:t>Допустимите разходи са инвестиционните разходи в материални и нематериални активи.</w:t>
      </w:r>
      <w:r w:rsidRPr="00CB333D">
        <w:rPr>
          <w:color w:val="000000"/>
        </w:rPr>
        <w:t xml:space="preserve"> </w:t>
      </w:r>
    </w:p>
    <w:p w:rsidR="002A7C68" w:rsidRPr="00CB333D" w:rsidRDefault="002A7C68" w:rsidP="000773EE">
      <w:pPr>
        <w:pStyle w:val="NumPar1"/>
        <w:numPr>
          <w:ilvl w:val="0"/>
          <w:numId w:val="9"/>
        </w:numPr>
        <w:rPr>
          <w:rFonts w:eastAsia="ArialUnicodeMS"/>
          <w:color w:val="000000"/>
        </w:rPr>
      </w:pPr>
      <w:r w:rsidRPr="00CB333D">
        <w:rPr>
          <w:color w:val="000000"/>
        </w:rPr>
        <w:t>Интензитетът на помощ за инвестиционни помощи в полза на иновационни клъстери не превишава [50] % от допустимите разходи.</w:t>
      </w:r>
    </w:p>
    <w:p w:rsidR="002A7C68" w:rsidRPr="00CB333D" w:rsidRDefault="002A7C68" w:rsidP="000773EE">
      <w:pPr>
        <w:pStyle w:val="NumPar1"/>
        <w:numPr>
          <w:ilvl w:val="0"/>
          <w:numId w:val="9"/>
        </w:numPr>
        <w:rPr>
          <w:rFonts w:eastAsia="ArialUnicodeMS"/>
          <w:color w:val="000000"/>
        </w:rPr>
      </w:pPr>
      <w:r w:rsidRPr="00CB333D">
        <w:t>За експлоатацията на иновационни клъстери могат да бъдат отпуснати оперативни помощи.</w:t>
      </w:r>
      <w:r w:rsidRPr="00CB333D">
        <w:rPr>
          <w:color w:val="000000"/>
        </w:rPr>
        <w:t xml:space="preserve"> Тя не превишава пет години.</w:t>
      </w:r>
    </w:p>
    <w:p w:rsidR="002A7C68" w:rsidRPr="00CB333D" w:rsidRDefault="002A7C68" w:rsidP="000773EE">
      <w:pPr>
        <w:pStyle w:val="NumPar1"/>
        <w:numPr>
          <w:ilvl w:val="0"/>
          <w:numId w:val="9"/>
        </w:numPr>
        <w:rPr>
          <w:rFonts w:eastAsia="ArialUnicodeMS"/>
          <w:color w:val="000000"/>
        </w:rPr>
      </w:pPr>
      <w:r w:rsidRPr="00CB333D">
        <w:rPr>
          <w:color w:val="000000"/>
        </w:rPr>
        <w:t>Допустимите разходи включват разходите за персонал и административните разходи (включително режийните разходи), свързани със:</w:t>
      </w:r>
    </w:p>
    <w:p w:rsidR="002A7C68" w:rsidRPr="00CB333D" w:rsidRDefault="00CD56DC" w:rsidP="00CD56DC">
      <w:pPr>
        <w:pStyle w:val="Point1"/>
        <w:rPr>
          <w:rFonts w:eastAsia="ArialUnicodeMS"/>
        </w:rPr>
      </w:pPr>
      <w:r>
        <w:rPr>
          <w:rFonts w:eastAsia="ArialUnicodeMS"/>
        </w:rPr>
        <w:t>а)</w:t>
      </w:r>
      <w:r w:rsidRPr="00CD56DC">
        <w:rPr>
          <w:rFonts w:eastAsia="ArialUnicodeMS"/>
        </w:rPr>
        <w:tab/>
      </w:r>
      <w:r w:rsidR="002A7C68" w:rsidRPr="00CB333D">
        <w:t>ръководене на клъстера с цел улесняване на сътрудничеството, обмена на информация и предоставянето или канализирането на специализирани и персонализирани услуги в подкрепа на бизнеса;</w:t>
      </w:r>
    </w:p>
    <w:p w:rsidR="002A7C68" w:rsidRPr="00CB333D" w:rsidRDefault="00CD56DC" w:rsidP="00CD56DC">
      <w:pPr>
        <w:pStyle w:val="Point1"/>
        <w:rPr>
          <w:rFonts w:eastAsia="ArialUnicodeMS"/>
        </w:rPr>
      </w:pPr>
      <w:r>
        <w:rPr>
          <w:rFonts w:eastAsia="ArialUnicodeMS"/>
        </w:rPr>
        <w:t>б)</w:t>
      </w:r>
      <w:r w:rsidRPr="00CD56DC">
        <w:rPr>
          <w:rFonts w:eastAsia="ArialUnicodeMS"/>
        </w:rPr>
        <w:tab/>
      </w:r>
      <w:r w:rsidR="002A7C68" w:rsidRPr="00CB333D">
        <w:t>маркетинг на клъстера с цел увеличаване на участието на нови предприятия или организации и повишаване на видимостта;</w:t>
      </w:r>
    </w:p>
    <w:p w:rsidR="002A7C68" w:rsidRPr="00CB333D" w:rsidRDefault="00CD56DC" w:rsidP="00CD56DC">
      <w:pPr>
        <w:pStyle w:val="Point1"/>
        <w:rPr>
          <w:rFonts w:eastAsia="ArialUnicodeMS"/>
        </w:rPr>
      </w:pPr>
      <w:r>
        <w:rPr>
          <w:rFonts w:eastAsia="ArialUnicodeMS"/>
        </w:rPr>
        <w:t>в)</w:t>
      </w:r>
      <w:r w:rsidRPr="00CD56DC">
        <w:rPr>
          <w:rFonts w:eastAsia="ArialUnicodeMS"/>
        </w:rPr>
        <w:tab/>
      </w:r>
      <w:r w:rsidR="002A7C68" w:rsidRPr="00CB333D">
        <w:t>управление на съоръженията на клъстера; организиране на програми за обучение, семинари и конференции в подкрепа на споделянето на знания и работата в мрежа и транснационалното сътрудничество.</w:t>
      </w:r>
    </w:p>
    <w:p w:rsidR="002A7C68" w:rsidRPr="00CB333D" w:rsidRDefault="002A7C68" w:rsidP="000773EE">
      <w:pPr>
        <w:pStyle w:val="NumPar1"/>
        <w:numPr>
          <w:ilvl w:val="0"/>
          <w:numId w:val="9"/>
        </w:numPr>
        <w:rPr>
          <w:rFonts w:eastAsia="ArialUnicodeMS"/>
          <w:color w:val="000000"/>
        </w:rPr>
      </w:pPr>
      <w:r w:rsidRPr="00CB333D">
        <w:t>Интензитетът на помощ за оперативни помощи не надвишава [50] % от общите допустими разходи през петгодишния период.</w:t>
      </w:r>
    </w:p>
    <w:p w:rsidR="002A7C68" w:rsidRPr="00CB333D" w:rsidRDefault="00F05D31" w:rsidP="002A7C68">
      <w:pPr>
        <w:pStyle w:val="Titrearticle"/>
        <w:rPr>
          <w:b/>
        </w:rPr>
      </w:pPr>
      <w:r w:rsidRPr="00CB333D">
        <w:t>Член 27</w:t>
      </w:r>
      <w:r w:rsidRPr="00CB333D">
        <w:br/>
      </w:r>
      <w:r w:rsidRPr="00CB333D">
        <w:rPr>
          <w:b/>
        </w:rPr>
        <w:t>Помощи за иновации в полза на МСП</w:t>
      </w:r>
    </w:p>
    <w:p w:rsidR="002A7C68" w:rsidRPr="00CB333D" w:rsidRDefault="002A7C68" w:rsidP="000773EE">
      <w:pPr>
        <w:pStyle w:val="NumPar1"/>
        <w:numPr>
          <w:ilvl w:val="0"/>
          <w:numId w:val="38"/>
        </w:numPr>
      </w:pPr>
      <w:r w:rsidRPr="00CB333D">
        <w:t xml:space="preserve">Помощите за иновации за МСП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 </w:t>
      </w:r>
    </w:p>
    <w:p w:rsidR="002A7C68" w:rsidRPr="00CB333D" w:rsidRDefault="002A7C68" w:rsidP="000773EE">
      <w:pPr>
        <w:pStyle w:val="NumPar1"/>
        <w:numPr>
          <w:ilvl w:val="0"/>
          <w:numId w:val="9"/>
        </w:numPr>
      </w:pPr>
      <w:r w:rsidRPr="00CB333D">
        <w:t>Допустими са следните разходи:</w:t>
      </w:r>
    </w:p>
    <w:p w:rsidR="002A7C68" w:rsidRPr="00CB333D" w:rsidRDefault="00CD56DC" w:rsidP="00CD56DC">
      <w:pPr>
        <w:pStyle w:val="Point1"/>
      </w:pPr>
      <w:r>
        <w:t>а)</w:t>
      </w:r>
      <w:r w:rsidRPr="00CD56DC">
        <w:tab/>
      </w:r>
      <w:r w:rsidR="002A7C68" w:rsidRPr="00CB333D">
        <w:t>разходи за получаване, валидиране и защита на патенти и други нематериални активи;</w:t>
      </w:r>
    </w:p>
    <w:p w:rsidR="002A7C68" w:rsidRPr="00CB333D" w:rsidRDefault="00CD56DC" w:rsidP="00CD56DC">
      <w:pPr>
        <w:pStyle w:val="Point1"/>
      </w:pPr>
      <w:r>
        <w:t>б)</w:t>
      </w:r>
      <w:r w:rsidRPr="00CD56DC">
        <w:tab/>
      </w:r>
      <w:r w:rsidR="002A7C68" w:rsidRPr="00CB333D">
        <w:t xml:space="preserve">разходи за командироване на висококвалифициран персонал от организация за научноизследователска дейност и разпространяване на знания или голямо предприятие, който работи в областта на научноизследователската и развойната дейност и иновациите на новосъздадена длъжност в организацията на бенефициера и не замества друг персонал; </w:t>
      </w:r>
    </w:p>
    <w:p w:rsidR="002A7C68" w:rsidRPr="00CB333D" w:rsidRDefault="00CD56DC" w:rsidP="00CD56DC">
      <w:pPr>
        <w:pStyle w:val="Point1"/>
      </w:pPr>
      <w:r>
        <w:t>в)</w:t>
      </w:r>
      <w:r w:rsidRPr="00CD56DC">
        <w:tab/>
      </w:r>
      <w:r w:rsidR="002A7C68" w:rsidRPr="00CB333D">
        <w:t>разходи за консултантски и помощни услуги в подкрепа на иновациите;</w:t>
      </w:r>
    </w:p>
    <w:p w:rsidR="002A7C68" w:rsidRPr="00CB333D" w:rsidRDefault="002A7C68" w:rsidP="000773EE">
      <w:pPr>
        <w:pStyle w:val="NumPar1"/>
        <w:numPr>
          <w:ilvl w:val="0"/>
          <w:numId w:val="9"/>
        </w:numPr>
      </w:pPr>
      <w:r w:rsidRPr="00CB333D">
        <w:t>Интензитетът на помощ не надвишава [50] % от допустимите разходи.</w:t>
      </w:r>
    </w:p>
    <w:p w:rsidR="002A7C68" w:rsidRPr="00CB333D" w:rsidRDefault="00F05D31" w:rsidP="002A7C68">
      <w:pPr>
        <w:pStyle w:val="Titrearticle"/>
        <w:rPr>
          <w:b/>
          <w:color w:val="000000"/>
        </w:rPr>
      </w:pPr>
      <w:r w:rsidRPr="00CB333D">
        <w:rPr>
          <w:color w:val="000000"/>
        </w:rPr>
        <w:t>Член 28</w:t>
      </w:r>
      <w:r w:rsidRPr="00CB333D">
        <w:rPr>
          <w:color w:val="000000"/>
        </w:rPr>
        <w:br/>
      </w:r>
      <w:r w:rsidRPr="00CB333D">
        <w:rPr>
          <w:b/>
          <w:color w:val="000000"/>
        </w:rPr>
        <w:t>Помощи за иновации  на процеси и организации</w:t>
      </w:r>
    </w:p>
    <w:p w:rsidR="002A7C68" w:rsidRPr="00CB333D" w:rsidRDefault="002A7C68" w:rsidP="000773EE">
      <w:pPr>
        <w:pStyle w:val="NumPar1"/>
        <w:numPr>
          <w:ilvl w:val="0"/>
          <w:numId w:val="37"/>
        </w:numPr>
        <w:rPr>
          <w:color w:val="000000"/>
        </w:rPr>
      </w:pPr>
      <w:r w:rsidRPr="00CB333D">
        <w:rPr>
          <w:color w:val="000000"/>
        </w:rPr>
        <w:t xml:space="preserve">Помощите за иновации на процеси и организации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 </w:t>
      </w:r>
    </w:p>
    <w:p w:rsidR="002A7C68" w:rsidRPr="00CB333D" w:rsidRDefault="002A7C68" w:rsidP="000773EE">
      <w:pPr>
        <w:pStyle w:val="NumPar1"/>
        <w:numPr>
          <w:ilvl w:val="0"/>
          <w:numId w:val="9"/>
        </w:numPr>
        <w:rPr>
          <w:color w:val="000000"/>
        </w:rPr>
      </w:pPr>
      <w:r w:rsidRPr="00CB333D">
        <w:t>Помощ на големи предприятия се предоставя само ако те ефективно си сътрудничат с МСП в подпомаганата дейност и сътрудничещите си МСП понасят поне 30 % от общия размер на допустимите разходи.</w:t>
      </w:r>
      <w:r w:rsidRPr="00CB333D">
        <w:rPr>
          <w:color w:val="000000"/>
        </w:rPr>
        <w:t xml:space="preserve"> </w:t>
      </w:r>
    </w:p>
    <w:p w:rsidR="002A7C68" w:rsidRPr="00CB333D" w:rsidRDefault="002A7C68" w:rsidP="000773EE">
      <w:pPr>
        <w:pStyle w:val="NumPar1"/>
        <w:numPr>
          <w:ilvl w:val="0"/>
          <w:numId w:val="9"/>
        </w:numPr>
        <w:rPr>
          <w:color w:val="000000"/>
        </w:rPr>
      </w:pPr>
      <w:r w:rsidRPr="00CB333D">
        <w:t>Допустимите разходи включват:</w:t>
      </w:r>
      <w:r w:rsidRPr="00CB333D">
        <w:rPr>
          <w:color w:val="000000"/>
        </w:rPr>
        <w:t xml:space="preserve"> </w:t>
      </w:r>
    </w:p>
    <w:p w:rsidR="002A7C68" w:rsidRPr="00CB333D" w:rsidRDefault="00CD56DC" w:rsidP="00CD56DC">
      <w:pPr>
        <w:pStyle w:val="Point1"/>
      </w:pPr>
      <w:r>
        <w:t>а)</w:t>
      </w:r>
      <w:r w:rsidRPr="00CD56DC">
        <w:tab/>
      </w:r>
      <w:r w:rsidR="002A7C68" w:rsidRPr="00CB333D">
        <w:t>разходи за персонал;</w:t>
      </w:r>
    </w:p>
    <w:p w:rsidR="002A7C68" w:rsidRPr="00CB333D" w:rsidRDefault="00CD56DC" w:rsidP="00CD56DC">
      <w:pPr>
        <w:pStyle w:val="Point1"/>
      </w:pPr>
      <w:r>
        <w:t>б)</w:t>
      </w:r>
      <w:r w:rsidRPr="00CD56DC">
        <w:tab/>
      </w:r>
      <w:r w:rsidR="002A7C68" w:rsidRPr="00CB333D">
        <w:t xml:space="preserve">разходи за инструменти, оборудване, сгради и земя, доколкото те се използват, и за периода, през който се използват за подпомагания проект; </w:t>
      </w:r>
    </w:p>
    <w:p w:rsidR="002A7C68" w:rsidRPr="00CB333D" w:rsidRDefault="00CD56DC" w:rsidP="00CD56DC">
      <w:pPr>
        <w:pStyle w:val="Point1"/>
      </w:pPr>
      <w:r>
        <w:t>в)</w:t>
      </w:r>
      <w:r w:rsidRPr="00CD56DC">
        <w:tab/>
      </w:r>
      <w:r w:rsidR="002A7C68" w:rsidRPr="00CB333D">
        <w:t>разходи за договорни изследвания, знания и патенти, закупени или лицензирани от външни източници чрез сделка между несвързани лица;</w:t>
      </w:r>
    </w:p>
    <w:p w:rsidR="002A7C68" w:rsidRPr="00CB333D" w:rsidRDefault="00CD56DC" w:rsidP="00CD56DC">
      <w:pPr>
        <w:pStyle w:val="Point1"/>
      </w:pPr>
      <w:r>
        <w:t>г)</w:t>
      </w:r>
      <w:r w:rsidRPr="00CD56DC">
        <w:tab/>
      </w:r>
      <w:r w:rsidR="002A7C68" w:rsidRPr="00CB333D">
        <w:t>допълнителни постоянни разходи и други оперативни разходи, включително разходи за материали, консумативи и други подобни продукти, извършени пряко в резултат от проекта.</w:t>
      </w:r>
    </w:p>
    <w:p w:rsidR="002A7C68" w:rsidRPr="00CB333D" w:rsidRDefault="002A7C68" w:rsidP="000773EE">
      <w:pPr>
        <w:pStyle w:val="NumPar1"/>
        <w:numPr>
          <w:ilvl w:val="0"/>
          <w:numId w:val="9"/>
        </w:numPr>
        <w:rPr>
          <w:color w:val="000000"/>
        </w:rPr>
      </w:pPr>
      <w:r w:rsidRPr="00CB333D">
        <w:rPr>
          <w:color w:val="000000"/>
        </w:rPr>
        <w:t>Интензитетът на помощ не превишава [15] % от допустимите разходи за големи предприятия и 50 % от допустимите разходи за МСП.</w:t>
      </w:r>
    </w:p>
    <w:p w:rsidR="00F37798" w:rsidRPr="00CB333D" w:rsidRDefault="00F37798" w:rsidP="00F37798">
      <w:pPr>
        <w:keepNext/>
        <w:spacing w:before="360"/>
        <w:jc w:val="center"/>
        <w:rPr>
          <w:b/>
          <w:i/>
        </w:rPr>
      </w:pPr>
      <w:r w:rsidRPr="00CB333D">
        <w:rPr>
          <w:i/>
        </w:rPr>
        <w:t>Член 29</w:t>
      </w:r>
      <w:r w:rsidRPr="00CB333D">
        <w:rPr>
          <w:i/>
        </w:rPr>
        <w:br/>
      </w:r>
      <w:r w:rsidRPr="00CB333D">
        <w:rPr>
          <w:b/>
          <w:i/>
        </w:rPr>
        <w:t>Помощи за научноизследователска и развойна дейност в секторите на рибарството и аквакултурите</w:t>
      </w:r>
    </w:p>
    <w:p w:rsidR="00F37798" w:rsidRPr="00CB333D" w:rsidRDefault="00F37798" w:rsidP="000773EE">
      <w:pPr>
        <w:pStyle w:val="NumPar1"/>
        <w:numPr>
          <w:ilvl w:val="0"/>
          <w:numId w:val="36"/>
        </w:numPr>
        <w:rPr>
          <w:color w:val="000000"/>
        </w:rPr>
      </w:pPr>
      <w:r w:rsidRPr="00CB333D">
        <w:rPr>
          <w:color w:val="000000"/>
        </w:rPr>
        <w:t>Помощите за проекти за научноизследователска и развойна дейност в сектора на рибарството и аквакултурите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 от настоящия регламент.</w:t>
      </w:r>
    </w:p>
    <w:p w:rsidR="00F37798" w:rsidRPr="00CB333D" w:rsidRDefault="00F37798" w:rsidP="00E03D90">
      <w:pPr>
        <w:pStyle w:val="NumPar1"/>
        <w:rPr>
          <w:color w:val="000000"/>
        </w:rPr>
      </w:pPr>
      <w:r w:rsidRPr="00CB333D">
        <w:rPr>
          <w:color w:val="000000"/>
        </w:rPr>
        <w:t>Проектът за научноизследователска и развойна дейност е от интерес за всички оператори от съответния сектор и подсектор.</w:t>
      </w:r>
    </w:p>
    <w:p w:rsidR="00F37798" w:rsidRPr="00CB333D" w:rsidRDefault="00F37798" w:rsidP="00E03D90">
      <w:pPr>
        <w:pStyle w:val="NumPar1"/>
        <w:rPr>
          <w:color w:val="000000"/>
        </w:rPr>
      </w:pPr>
      <w:r w:rsidRPr="00CB333D">
        <w:rPr>
          <w:color w:val="000000"/>
        </w:rPr>
        <w:t>Преди да започне проектът за научноизследователска и развойна дейност, в интернет се публикува информация за предстоящото изпълнение на проекта и относно неговата цел. Посочва се приблизителната дата на очакваните резултати и къде ще бъдат публикувани в интернет, и че резултатите ще бъдат предоставени безплатно.</w:t>
      </w:r>
    </w:p>
    <w:p w:rsidR="00F37798" w:rsidRPr="00CB333D" w:rsidRDefault="00F37798" w:rsidP="00E03D90">
      <w:pPr>
        <w:pStyle w:val="NumPar1"/>
        <w:rPr>
          <w:color w:val="000000"/>
        </w:rPr>
      </w:pPr>
      <w:r w:rsidRPr="00CB333D">
        <w:rPr>
          <w:color w:val="000000"/>
        </w:rPr>
        <w:t xml:space="preserve">Резултатите от научноизследователската и развойната дейност са достъпни в интернет за период от най-малко 5 години. Те се публикуват не по-късно от евентуалното предоставяне на информация на членовете на определена организация. </w:t>
      </w:r>
    </w:p>
    <w:p w:rsidR="003A0163" w:rsidRPr="00CB333D" w:rsidRDefault="003A0163" w:rsidP="00E03D90">
      <w:pPr>
        <w:pStyle w:val="NumPar1"/>
        <w:rPr>
          <w:color w:val="000000"/>
        </w:rPr>
      </w:pPr>
      <w:r w:rsidRPr="00CB333D">
        <w:t>Помощите се предоставят пряко на организацията за научноизследователска дейност и разпространяване на знания и не трябва да включват пряко предоставяне на помощ, несвързана с научни изследвания, на предприятие, което произвежда, преработва или търгува с продукти от риболов или аквакултури.</w:t>
      </w:r>
    </w:p>
    <w:p w:rsidR="00F37798" w:rsidRPr="00CB333D" w:rsidRDefault="00F37798" w:rsidP="00E03D90">
      <w:pPr>
        <w:pStyle w:val="NumPar1"/>
        <w:rPr>
          <w:color w:val="000000"/>
        </w:rPr>
      </w:pPr>
      <w:r w:rsidRPr="00CB333D">
        <w:rPr>
          <w:color w:val="000000"/>
        </w:rPr>
        <w:t>Допустими са разходите, посочени в член 24, параграф 3.</w:t>
      </w:r>
    </w:p>
    <w:p w:rsidR="00F37798" w:rsidRPr="00CB333D" w:rsidRDefault="00F37798" w:rsidP="00E03D90">
      <w:pPr>
        <w:pStyle w:val="NumPar1"/>
        <w:rPr>
          <w:color w:val="000000"/>
        </w:rPr>
      </w:pPr>
      <w:r w:rsidRPr="00CB333D">
        <w:rPr>
          <w:color w:val="000000"/>
        </w:rPr>
        <w:t>Интензитетът на помощ не надвишава 100 % от допустимите разходи.</w:t>
      </w:r>
    </w:p>
    <w:p w:rsidR="00042815" w:rsidRPr="00CB333D" w:rsidRDefault="00042815" w:rsidP="00630212">
      <w:pPr>
        <w:pStyle w:val="SectionTitle"/>
        <w:spacing w:before="360"/>
      </w:pPr>
      <w:bookmarkStart w:id="17" w:name="_Toc377391822"/>
      <w:r w:rsidRPr="00CB333D">
        <w:t>Раздел 5 — Помощ за обучение</w:t>
      </w:r>
      <w:bookmarkEnd w:id="17"/>
    </w:p>
    <w:p w:rsidR="00042815" w:rsidRPr="00CB333D" w:rsidRDefault="00F05D31" w:rsidP="005E1D3C">
      <w:pPr>
        <w:pStyle w:val="Titrearticle"/>
        <w:rPr>
          <w:color w:val="000000"/>
        </w:rPr>
      </w:pPr>
      <w:r w:rsidRPr="00CB333D">
        <w:rPr>
          <w:color w:val="000000"/>
        </w:rPr>
        <w:t>Член 30</w:t>
      </w:r>
      <w:r w:rsidRPr="00CB333D">
        <w:rPr>
          <w:color w:val="000000"/>
        </w:rPr>
        <w:br/>
      </w:r>
      <w:r w:rsidRPr="00CB333D">
        <w:rPr>
          <w:b/>
          <w:color w:val="000000"/>
        </w:rPr>
        <w:t>Помощи за обучение</w:t>
      </w:r>
    </w:p>
    <w:p w:rsidR="00042815" w:rsidRPr="00CB333D" w:rsidRDefault="00042815" w:rsidP="000773EE">
      <w:pPr>
        <w:pStyle w:val="NumPar1"/>
        <w:numPr>
          <w:ilvl w:val="0"/>
          <w:numId w:val="35"/>
        </w:numPr>
      </w:pPr>
      <w:r w:rsidRPr="00CB333D">
        <w:t>Помощта за обучение е съвместима с вътрешния пазар по смисъла на член 107, параграф 3 от Договора и се освобождава от задължението за уведомяване по член 108, параграф 3 от Договора, ако са изпълнени условията, определени в настоящия член и в глава I.</w:t>
      </w:r>
    </w:p>
    <w:p w:rsidR="00273019" w:rsidRPr="00CB333D" w:rsidRDefault="00273019" w:rsidP="000773EE">
      <w:pPr>
        <w:pStyle w:val="NumPar1"/>
        <w:numPr>
          <w:ilvl w:val="0"/>
          <w:numId w:val="9"/>
        </w:numPr>
      </w:pPr>
      <w:r w:rsidRPr="00CB333D">
        <w:t xml:space="preserve">Помощ не се предоставя в случаите, в които обучението има за цел да гарантира, че дружествата спазват задължителните национални стандарти за обучение. </w:t>
      </w:r>
    </w:p>
    <w:p w:rsidR="00042815" w:rsidRPr="00CB333D" w:rsidRDefault="00042815" w:rsidP="000773EE">
      <w:pPr>
        <w:pStyle w:val="NumPar1"/>
        <w:numPr>
          <w:ilvl w:val="0"/>
          <w:numId w:val="9"/>
        </w:numPr>
      </w:pPr>
      <w:r w:rsidRPr="00CB333D">
        <w:t>Допустимите разходи включват:</w:t>
      </w:r>
    </w:p>
    <w:p w:rsidR="00C95FD3" w:rsidRPr="00CB333D" w:rsidRDefault="00CD56DC" w:rsidP="00CD56DC">
      <w:pPr>
        <w:pStyle w:val="Point1"/>
      </w:pPr>
      <w:r>
        <w:t>а)</w:t>
      </w:r>
      <w:r w:rsidRPr="00CD56DC">
        <w:tab/>
      </w:r>
      <w:r w:rsidR="00042815" w:rsidRPr="00CB333D">
        <w:t>разходи за обучаващ персонал, за часовете, през които обучаващият персонал участва в обучението;</w:t>
      </w:r>
    </w:p>
    <w:p w:rsidR="003227C4" w:rsidRPr="00CB333D" w:rsidRDefault="00CD56DC" w:rsidP="00CD56DC">
      <w:pPr>
        <w:pStyle w:val="Point1"/>
      </w:pPr>
      <w:r>
        <w:t>б)</w:t>
      </w:r>
      <w:r w:rsidRPr="00CD56DC">
        <w:tab/>
      </w:r>
      <w:r w:rsidR="00042815" w:rsidRPr="00CB333D">
        <w:t>оперативни разходи на обучаващите и обучаваните, които са пряко свързани с проекта за обучение, като пътни разноски, материали и консумативи, пряко свързани с проекта, амортизация на инструменти и оборудване, доколкото те се използват изключително за проекта за обучение. Разходите за настаняване не се допускат с изключение на минималните необходими разходи за настаняването на обучаващите се, които са с увреждания;</w:t>
      </w:r>
    </w:p>
    <w:p w:rsidR="00042815" w:rsidRPr="00CB333D" w:rsidRDefault="00CD56DC" w:rsidP="00CD56DC">
      <w:pPr>
        <w:pStyle w:val="Point1"/>
      </w:pPr>
      <w:r>
        <w:t>в)</w:t>
      </w:r>
      <w:r w:rsidRPr="00CD56DC">
        <w:tab/>
      </w:r>
      <w:r w:rsidR="00042815" w:rsidRPr="00CB333D">
        <w:t>разходи за консултантски услуги, свързани с проекта за обучение;</w:t>
      </w:r>
    </w:p>
    <w:p w:rsidR="00927F03" w:rsidRPr="00CB333D" w:rsidRDefault="00CD56DC" w:rsidP="00CD56DC">
      <w:pPr>
        <w:pStyle w:val="Point1"/>
      </w:pPr>
      <w:r>
        <w:t>г)</w:t>
      </w:r>
      <w:r w:rsidRPr="00CD56DC">
        <w:tab/>
      </w:r>
      <w:r w:rsidR="00927F03" w:rsidRPr="00CB333D">
        <w:t>когато помощта е предоставена на МСП, личните разходи на обучаващите се и общите косвени разходи (административни разходи, наеми, режийни) за часовете, в които обучаващите се участват в обучението.</w:t>
      </w:r>
    </w:p>
    <w:p w:rsidR="00042815" w:rsidRPr="00CB333D" w:rsidRDefault="00042815" w:rsidP="000773EE">
      <w:pPr>
        <w:pStyle w:val="NumPar1"/>
        <w:numPr>
          <w:ilvl w:val="0"/>
          <w:numId w:val="9"/>
        </w:numPr>
      </w:pPr>
      <w:r w:rsidRPr="00CB333D">
        <w:t>Интензитетът на помощ не надвишава 50 % от допустимите разходи. Той може да бъде увеличен до максималния интензитет на помощта от 70 % от допустимите разходи, както следва:</w:t>
      </w:r>
    </w:p>
    <w:p w:rsidR="00042815" w:rsidRPr="00CB333D" w:rsidRDefault="00CD56DC" w:rsidP="00CD56DC">
      <w:pPr>
        <w:pStyle w:val="Point1"/>
      </w:pPr>
      <w:r>
        <w:t>а)</w:t>
      </w:r>
      <w:r w:rsidRPr="00CD56DC">
        <w:tab/>
      </w:r>
      <w:r w:rsidR="00042815" w:rsidRPr="00CB333D">
        <w:t>с 10 процентни пункта, ако обучението се предлага на работещи с увреждания или работещи в неравностойно положение;</w:t>
      </w:r>
    </w:p>
    <w:p w:rsidR="00042815" w:rsidRPr="00CB333D" w:rsidRDefault="00CD56DC" w:rsidP="00CD56DC">
      <w:pPr>
        <w:pStyle w:val="Point1"/>
      </w:pPr>
      <w:r>
        <w:t>б)</w:t>
      </w:r>
      <w:r w:rsidRPr="00CD56DC">
        <w:tab/>
      </w:r>
      <w:r w:rsidR="00042815" w:rsidRPr="00CB333D">
        <w:t>с 10 процентни пункта, ако помощта се предоставя на средни предприятия, и с 20 процентни пункта, ако помощта се предоставя на малки предприятия.</w:t>
      </w:r>
    </w:p>
    <w:p w:rsidR="00C11A24" w:rsidRPr="00CB333D" w:rsidRDefault="00C11A24" w:rsidP="000773EE">
      <w:pPr>
        <w:pStyle w:val="NumPar1"/>
        <w:numPr>
          <w:ilvl w:val="0"/>
          <w:numId w:val="9"/>
        </w:numPr>
      </w:pPr>
      <w:r w:rsidRPr="00CB333D">
        <w:t>Когато помощта е предоставена в сектора на морския транспорт, интензитетът на помощ може да бъде увеличен до 100 % от допустимите разходи, при условие че са изпълнени следните условия:</w:t>
      </w:r>
    </w:p>
    <w:p w:rsidR="00C11A24" w:rsidRPr="00CB333D" w:rsidRDefault="00CD56DC" w:rsidP="00CD56DC">
      <w:pPr>
        <w:pStyle w:val="Point1"/>
      </w:pPr>
      <w:r>
        <w:t>а)</w:t>
      </w:r>
      <w:r w:rsidRPr="00CD56DC">
        <w:tab/>
      </w:r>
      <w:r w:rsidR="00C11A24" w:rsidRPr="00CB333D">
        <w:t>обучаващите се не са активни членове на екипажа, а част от извънщатния състав на борда на кораба и</w:t>
      </w:r>
    </w:p>
    <w:p w:rsidR="00147735" w:rsidRPr="00CB333D" w:rsidRDefault="00CD56DC" w:rsidP="00CD56DC">
      <w:pPr>
        <w:pStyle w:val="Point1"/>
      </w:pPr>
      <w:r>
        <w:t>б)</w:t>
      </w:r>
      <w:r w:rsidRPr="00CD56DC">
        <w:tab/>
      </w:r>
      <w:r w:rsidR="00C11A24" w:rsidRPr="00CB333D">
        <w:t>обучението се провежда на борда на кораби, вписани в регистрите на Съюза.</w:t>
      </w:r>
    </w:p>
    <w:p w:rsidR="00042815" w:rsidRPr="00CB333D" w:rsidRDefault="00042815" w:rsidP="00630212">
      <w:pPr>
        <w:pStyle w:val="SectionTitle"/>
        <w:spacing w:before="360"/>
      </w:pPr>
      <w:bookmarkStart w:id="18" w:name="_Toc377391823"/>
      <w:r w:rsidRPr="00CB333D">
        <w:t xml:space="preserve">Раздел </w:t>
      </w:r>
      <w:bookmarkStart w:id="19" w:name="Section5"/>
      <w:r w:rsidRPr="00CB333D">
        <w:t>6</w:t>
      </w:r>
      <w:bookmarkEnd w:id="19"/>
      <w:r w:rsidRPr="00CB333D">
        <w:t xml:space="preserve"> - Помощи за работещи в неравностойно положение и работещи с увреждания</w:t>
      </w:r>
      <w:bookmarkEnd w:id="18"/>
    </w:p>
    <w:p w:rsidR="0064499B" w:rsidRPr="00CB333D" w:rsidRDefault="00F05D31" w:rsidP="00F05D31">
      <w:pPr>
        <w:pStyle w:val="Titrearticle"/>
        <w:spacing w:after="480"/>
        <w:rPr>
          <w:b/>
          <w:i w:val="0"/>
        </w:rPr>
      </w:pPr>
      <w:r w:rsidRPr="00CB333D">
        <w:t>Член 31</w:t>
      </w:r>
      <w:r w:rsidRPr="00CB333D">
        <w:br/>
      </w:r>
      <w:r w:rsidRPr="00CB333D">
        <w:rPr>
          <w:b/>
          <w:i w:val="0"/>
        </w:rPr>
        <w:t>Помощ за наемане на работещи в неравностойно положение под формата на субсидии за заплати</w:t>
      </w:r>
    </w:p>
    <w:p w:rsidR="00865772" w:rsidRPr="00CB333D" w:rsidRDefault="00865772" w:rsidP="000773EE">
      <w:pPr>
        <w:pStyle w:val="NumPar1"/>
        <w:numPr>
          <w:ilvl w:val="0"/>
          <w:numId w:val="34"/>
        </w:numPr>
      </w:pPr>
      <w:r w:rsidRPr="00CB333D">
        <w:t xml:space="preserve">Помощите за наемането на работещи в неравностойно положение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 </w:t>
      </w:r>
    </w:p>
    <w:p w:rsidR="0064499B" w:rsidRPr="00CB333D" w:rsidRDefault="0064499B" w:rsidP="000773EE">
      <w:pPr>
        <w:pStyle w:val="NumPar1"/>
        <w:numPr>
          <w:ilvl w:val="0"/>
          <w:numId w:val="9"/>
        </w:numPr>
      </w:pPr>
      <w:r w:rsidRPr="00CB333D">
        <w:t>Допустими са разходите за заплати за максимален период от 12 месеца след наемането на работещ в неравностойно положение. Когато съответният работещ е в силно неравностойно положение, допустими са разходите за заплати за максимален период от 24 месеца след назначението.</w:t>
      </w:r>
    </w:p>
    <w:p w:rsidR="0064499B" w:rsidRPr="00CB333D" w:rsidRDefault="0064499B" w:rsidP="000773EE">
      <w:pPr>
        <w:pStyle w:val="NumPar1"/>
        <w:numPr>
          <w:ilvl w:val="0"/>
          <w:numId w:val="9"/>
        </w:numPr>
      </w:pPr>
      <w:r w:rsidRPr="00CB333D">
        <w:t>Когато назначението не представлява нетно увеличение на броя на персонала в съответното предприятие спрямо средния брой през последните 12 месеца, длъжността/ите трябва да е/са била/и овакантена/и поради доброволно напускане, увреждане, пенсиониране по възраст, доброволно намаляване на работното време или правомерно уволнение поради извършено нарушение, а не в резултат на съкращаване на персонал.</w:t>
      </w:r>
    </w:p>
    <w:p w:rsidR="0064499B" w:rsidRPr="00CB333D" w:rsidRDefault="0064499B" w:rsidP="000773EE">
      <w:pPr>
        <w:pStyle w:val="NumPar1"/>
        <w:numPr>
          <w:ilvl w:val="0"/>
          <w:numId w:val="9"/>
        </w:numPr>
      </w:pPr>
      <w:r w:rsidRPr="00CB333D">
        <w:t>Освен в случай на правомерно уволнение поради извършено нарушение, на работещия в неравностойно положение се предоставя непрекъсната заетост за минимален период в съответствие със съответното национално законодателство или колективни споразумения относно трудовите договори.</w:t>
      </w:r>
    </w:p>
    <w:p w:rsidR="0064499B" w:rsidRPr="00CB333D" w:rsidRDefault="0064499B" w:rsidP="000773EE">
      <w:pPr>
        <w:pStyle w:val="NumPar1"/>
        <w:numPr>
          <w:ilvl w:val="0"/>
          <w:numId w:val="9"/>
        </w:numPr>
      </w:pPr>
      <w:r w:rsidRPr="00CB333D">
        <w:t>Ако периодът на заетост е по-кратък от 12 месеца за работещ в неравностойно положение или 24 месеца за работещ в силно неравностойно положение, помощта съответно се намалява пропорционално.</w:t>
      </w:r>
    </w:p>
    <w:p w:rsidR="007A64C2" w:rsidRPr="00CB333D" w:rsidRDefault="000A6B16" w:rsidP="000773EE">
      <w:pPr>
        <w:pStyle w:val="NumPar1"/>
        <w:numPr>
          <w:ilvl w:val="0"/>
          <w:numId w:val="9"/>
        </w:numPr>
      </w:pPr>
      <w:r w:rsidRPr="00CB333D">
        <w:t>Интензитетът на помощ не надвишава 50 % от допустимите разходи.</w:t>
      </w:r>
    </w:p>
    <w:p w:rsidR="0064499B" w:rsidRPr="00CB333D" w:rsidRDefault="00F05D31" w:rsidP="00F05D31">
      <w:pPr>
        <w:pStyle w:val="Titrearticle"/>
        <w:spacing w:after="480"/>
        <w:rPr>
          <w:b/>
          <w:i w:val="0"/>
        </w:rPr>
      </w:pPr>
      <w:r w:rsidRPr="00CB333D">
        <w:t>Член 32</w:t>
      </w:r>
      <w:r w:rsidRPr="00CB333D">
        <w:br/>
      </w:r>
      <w:r w:rsidRPr="00CB333D">
        <w:rPr>
          <w:b/>
          <w:i w:val="0"/>
        </w:rPr>
        <w:t>Помощи за наемане на работещи с увреждания под формата на субсидии за заплати</w:t>
      </w:r>
    </w:p>
    <w:p w:rsidR="00865772" w:rsidRPr="00CB333D" w:rsidRDefault="00865772" w:rsidP="000773EE">
      <w:pPr>
        <w:pStyle w:val="NumPar1"/>
        <w:numPr>
          <w:ilvl w:val="0"/>
          <w:numId w:val="33"/>
        </w:numPr>
      </w:pPr>
      <w:r w:rsidRPr="00CB333D">
        <w:t xml:space="preserve">Помощите за наемане на работещи с увреждания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 </w:t>
      </w:r>
    </w:p>
    <w:p w:rsidR="0064499B" w:rsidRPr="00CB333D" w:rsidRDefault="0064499B" w:rsidP="00E03D90">
      <w:pPr>
        <w:pStyle w:val="NumPar1"/>
      </w:pPr>
      <w:r w:rsidRPr="00CB333D">
        <w:t>Допустими са разходите за заплати за периода, през който работещият с увреждане е нает.</w:t>
      </w:r>
    </w:p>
    <w:p w:rsidR="0064499B" w:rsidRPr="00CB333D" w:rsidRDefault="0064499B" w:rsidP="00E03D90">
      <w:pPr>
        <w:pStyle w:val="NumPar1"/>
      </w:pPr>
      <w:r w:rsidRPr="00CB333D">
        <w:t>Когато назначението не представлява нетно увеличение на броя на персонала в съответното предприятие спрямо средния брой през последните 12 месеца, длъжността/ите трябва да е/са била/и овакантена/и поради доброволно напускане, увреждане, пенсиониране по възраст, доброволно намаляване на работното време или правомерно уволнение поради извършено нарушение, а не в резултат от съкращаване на персонал.</w:t>
      </w:r>
    </w:p>
    <w:p w:rsidR="0064499B" w:rsidRPr="00CB333D" w:rsidRDefault="0064499B" w:rsidP="00E03D90">
      <w:pPr>
        <w:pStyle w:val="NumPar1"/>
      </w:pPr>
      <w:r w:rsidRPr="00CB333D">
        <w:t>Освен в случай на правомерно уволнение поради извършено нарушение, на работещите се предоставя непрекъсната заетост за минимален период в съответствие със съответното национално законодателство или колективни споразумения, които са правно обвързващи за предприятията и уреждат трудовите договори.</w:t>
      </w:r>
    </w:p>
    <w:p w:rsidR="000A6B16" w:rsidRPr="00CB333D" w:rsidRDefault="0064499B" w:rsidP="00E03D90">
      <w:pPr>
        <w:pStyle w:val="NumPar1"/>
      </w:pPr>
      <w:r w:rsidRPr="00CB333D">
        <w:t xml:space="preserve">Ако периодът на трудова заетост е по-кратък от 12 месеца, помощта се намалява пропорционално. </w:t>
      </w:r>
    </w:p>
    <w:p w:rsidR="001436AA" w:rsidRPr="00CB333D" w:rsidRDefault="000A6B16" w:rsidP="00E03D90">
      <w:pPr>
        <w:pStyle w:val="NumPar1"/>
      </w:pPr>
      <w:r w:rsidRPr="00CB333D">
        <w:t>Интензитетът на помощ не надвишава 75 % от допустимите разходи.</w:t>
      </w:r>
    </w:p>
    <w:p w:rsidR="00042815" w:rsidRPr="00CB333D" w:rsidRDefault="00F05D31" w:rsidP="00262C52">
      <w:pPr>
        <w:pStyle w:val="Titrearticle"/>
        <w:spacing w:after="480"/>
        <w:rPr>
          <w:b/>
        </w:rPr>
      </w:pPr>
      <w:r w:rsidRPr="00CB333D">
        <w:t>Член 33</w:t>
      </w:r>
      <w:r w:rsidRPr="00CB333D">
        <w:br/>
      </w:r>
      <w:r w:rsidRPr="00CB333D">
        <w:rPr>
          <w:b/>
        </w:rPr>
        <w:t>Помощ за компенсиране на допълнителните разходи, свързани с наемането на работещи с увреждания</w:t>
      </w:r>
    </w:p>
    <w:p w:rsidR="00042815" w:rsidRPr="00CB333D" w:rsidRDefault="00042815" w:rsidP="000773EE">
      <w:pPr>
        <w:pStyle w:val="NumPar1"/>
        <w:numPr>
          <w:ilvl w:val="0"/>
          <w:numId w:val="32"/>
        </w:numPr>
      </w:pPr>
      <w:r w:rsidRPr="00CB333D">
        <w:t>Помощите за компенсиране на допълнителните разходи, свързани с наемането на работещи с увреждания, са съвместими с общия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w:t>
      </w:r>
    </w:p>
    <w:p w:rsidR="00042815" w:rsidRPr="00CB333D" w:rsidRDefault="00042815" w:rsidP="000773EE">
      <w:pPr>
        <w:pStyle w:val="NumPar1"/>
        <w:numPr>
          <w:ilvl w:val="0"/>
          <w:numId w:val="9"/>
        </w:numPr>
      </w:pPr>
      <w:r w:rsidRPr="00CB333D">
        <w:t>Допустимите разходи включват:</w:t>
      </w:r>
    </w:p>
    <w:p w:rsidR="00042815" w:rsidRPr="00CB333D" w:rsidRDefault="00443DD2" w:rsidP="00443DD2">
      <w:pPr>
        <w:pStyle w:val="Point1"/>
      </w:pPr>
      <w:r>
        <w:t>а)</w:t>
      </w:r>
      <w:r w:rsidRPr="00443DD2">
        <w:tab/>
      </w:r>
      <w:r w:rsidR="00042815" w:rsidRPr="00CB333D">
        <w:t>разходи по приспособяване на помещенията;</w:t>
      </w:r>
    </w:p>
    <w:p w:rsidR="00042815" w:rsidRPr="00CB333D" w:rsidRDefault="00443DD2" w:rsidP="00443DD2">
      <w:pPr>
        <w:pStyle w:val="Point1"/>
      </w:pPr>
      <w:r>
        <w:t>б)</w:t>
      </w:r>
      <w:r w:rsidRPr="00443DD2">
        <w:tab/>
      </w:r>
      <w:r w:rsidR="00042815" w:rsidRPr="00CB333D">
        <w:t>разходи по наемане на персонал за времето, прекарано единствено в оказване на помощ на работещи с увреждания и обучението на такъв персонал за оказване на помощ на работещи с увреждания;</w:t>
      </w:r>
    </w:p>
    <w:p w:rsidR="00042815" w:rsidRPr="00CB333D" w:rsidRDefault="00443DD2" w:rsidP="00443DD2">
      <w:pPr>
        <w:pStyle w:val="Point1"/>
      </w:pPr>
      <w:r>
        <w:t>в)</w:t>
      </w:r>
      <w:r w:rsidRPr="00443DD2">
        <w:tab/>
      </w:r>
      <w:r w:rsidR="00042815" w:rsidRPr="00CB333D">
        <w:t>разходи за приспособяване или придобиване на оборудване или придобиване и валидиране на софтуер за използване от работещи с увреждания, в това число приспособени или подпомагащи технологични устройства, които са в допълнение към разходите, които бенефициерът би понесъл, ако бе наел работещи без увреждания;</w:t>
      </w:r>
    </w:p>
    <w:p w:rsidR="009E0B38" w:rsidRPr="00CB333D" w:rsidRDefault="00443DD2" w:rsidP="00443DD2">
      <w:pPr>
        <w:pStyle w:val="Point1"/>
      </w:pPr>
      <w:r>
        <w:t>г)</w:t>
      </w:r>
      <w:r w:rsidRPr="00443DD2">
        <w:tab/>
      </w:r>
      <w:r w:rsidR="009E0B38" w:rsidRPr="00CB333D">
        <w:t>разходи, пряко свързани с превоза до работното място на работещи с увреждания и за свързаните с работата дейности;</w:t>
      </w:r>
    </w:p>
    <w:p w:rsidR="009E0B38" w:rsidRPr="00CB333D" w:rsidRDefault="00443DD2" w:rsidP="00443DD2">
      <w:pPr>
        <w:pStyle w:val="Point1"/>
      </w:pPr>
      <w:r>
        <w:t>д)</w:t>
      </w:r>
      <w:r w:rsidRPr="00443DD2">
        <w:tab/>
      </w:r>
      <w:r w:rsidR="009E0B38" w:rsidRPr="00CB333D">
        <w:t>разходите за заплати за часовете, прекарани от работещ с увреждания за рехабилитация;</w:t>
      </w:r>
    </w:p>
    <w:p w:rsidR="00EC19C4" w:rsidRPr="00CB333D" w:rsidRDefault="00443DD2" w:rsidP="00443DD2">
      <w:pPr>
        <w:pStyle w:val="Point1"/>
      </w:pPr>
      <w:r>
        <w:t>е)</w:t>
      </w:r>
      <w:r w:rsidRPr="00443DD2">
        <w:tab/>
      </w:r>
      <w:r w:rsidR="00042815" w:rsidRPr="00CB333D">
        <w:t>когато бенефициерът осигурява защитени работни места, разходите по изграждане, внедряване или модернизация на производствените звена на съответното предприятие, както и всички разходи по администриране и транспорт, стига тези разходи да са пряко породени от наемането на работещи с увреждания.</w:t>
      </w:r>
    </w:p>
    <w:p w:rsidR="009B0806" w:rsidRPr="00CB333D" w:rsidRDefault="00042815" w:rsidP="000773EE">
      <w:pPr>
        <w:pStyle w:val="NumPar1"/>
        <w:numPr>
          <w:ilvl w:val="0"/>
          <w:numId w:val="9"/>
        </w:numPr>
      </w:pPr>
      <w:r w:rsidRPr="00CB333D">
        <w:t>Интензитетът на помощ не надвишава 100 % от допустимите разходи.</w:t>
      </w:r>
    </w:p>
    <w:p w:rsidR="00F030B3" w:rsidRPr="00CB333D" w:rsidRDefault="00042815" w:rsidP="00CD49E9">
      <w:pPr>
        <w:pStyle w:val="SectionTitle"/>
        <w:spacing w:before="360"/>
      </w:pPr>
      <w:bookmarkStart w:id="20" w:name="_Toc377391824"/>
      <w:r w:rsidRPr="00CB333D">
        <w:t>Раздел 7 — Помощ за опазване на околната среда</w:t>
      </w:r>
      <w:bookmarkEnd w:id="20"/>
    </w:p>
    <w:p w:rsidR="00F030B3" w:rsidRPr="00CB333D" w:rsidRDefault="00F05D31" w:rsidP="00CD49E9">
      <w:pPr>
        <w:pStyle w:val="Titrearticle"/>
      </w:pPr>
      <w:r w:rsidRPr="00CB333D">
        <w:t>Член 34</w:t>
      </w:r>
      <w:r w:rsidRPr="00CB333D">
        <w:br/>
      </w:r>
      <w:r w:rsidRPr="00CB333D">
        <w:rPr>
          <w:b/>
        </w:rPr>
        <w:t>Инвестиционна помощ, която дава възможност на предприятията да надвишават стандартите на Съюза за опазване на околната среда или да повишават равнището на опазване на околната среда при липса на стандарти на Съюза</w:t>
      </w:r>
    </w:p>
    <w:p w:rsidR="00F030B3" w:rsidRPr="00CB333D" w:rsidRDefault="00F030B3" w:rsidP="000773EE">
      <w:pPr>
        <w:pStyle w:val="NumPar1"/>
        <w:numPr>
          <w:ilvl w:val="0"/>
          <w:numId w:val="31"/>
        </w:numPr>
      </w:pPr>
      <w:r w:rsidRPr="00CB333D">
        <w:t xml:space="preserve">Инвестиционна помощ, която дава възможност на предприятията да надвишат стандартите на Съюза за опазване на околната среда или да повишат равнището на опазване на околната среда при отсъствие на стандарти на Съюза, е съвместима с общия пазар по смисъла на член 107, параграф 3 от Договора и се освобождава от задължението за уведомяване по член 108, параграф 3 от Договора, ако са изпълнени условията, определени в настоящия член и в глава I. </w:t>
      </w:r>
    </w:p>
    <w:p w:rsidR="00F030B3" w:rsidRPr="00CB333D" w:rsidRDefault="00F030B3" w:rsidP="000773EE">
      <w:pPr>
        <w:pStyle w:val="NumPar1"/>
        <w:numPr>
          <w:ilvl w:val="0"/>
          <w:numId w:val="9"/>
        </w:numPr>
      </w:pPr>
      <w:r w:rsidRPr="00CB333D">
        <w:t>Инвестицията отговаря на едно от следните условия:</w:t>
      </w:r>
    </w:p>
    <w:p w:rsidR="00CD49E9" w:rsidRPr="00CB333D" w:rsidRDefault="00443DD2" w:rsidP="00443DD2">
      <w:pPr>
        <w:pStyle w:val="Point1"/>
      </w:pPr>
      <w:r>
        <w:t>а)</w:t>
      </w:r>
      <w:r w:rsidRPr="00443DD2">
        <w:tab/>
      </w:r>
      <w:r w:rsidR="00621210" w:rsidRPr="00CB333D">
        <w:t>дава възможност на получателя на помощта да повиши равнището на опазване на околната среда вследствие на дейността си, като надвиши прилаганите стандарти на Съюза, независимо от наличието на задължителни национални стандарти, които са по-строги от стандартите на Съюза;</w:t>
      </w:r>
    </w:p>
    <w:p w:rsidR="00F030B3" w:rsidRPr="00CB333D" w:rsidRDefault="00443DD2" w:rsidP="00443DD2">
      <w:pPr>
        <w:pStyle w:val="Point1"/>
      </w:pPr>
      <w:r>
        <w:t>б)</w:t>
      </w:r>
      <w:r w:rsidRPr="00443DD2">
        <w:tab/>
      </w:r>
      <w:r w:rsidR="00621210" w:rsidRPr="00CB333D">
        <w:t>дава възможност на получателя да повиши равнището на опазване на околната среда вследствие на дейността си при отсъствие на стандарти на Съюза.</w:t>
      </w:r>
    </w:p>
    <w:p w:rsidR="00E931BC" w:rsidRPr="00CB333D" w:rsidRDefault="00F030B3" w:rsidP="000773EE">
      <w:pPr>
        <w:pStyle w:val="NumPar1"/>
        <w:numPr>
          <w:ilvl w:val="0"/>
          <w:numId w:val="9"/>
        </w:numPr>
      </w:pPr>
      <w:r w:rsidRPr="00CB333D">
        <w:t>Помощ не се предоставя в случаите, в които инвестициите имат за цел да гарантират, че дружествата спазват стандартите на Съюза, които вече са приети, но все още не са влезли в сила.</w:t>
      </w:r>
    </w:p>
    <w:p w:rsidR="00CE3798" w:rsidRPr="00CB333D" w:rsidRDefault="001544FA" w:rsidP="000773EE">
      <w:pPr>
        <w:pStyle w:val="NumPar1"/>
        <w:numPr>
          <w:ilvl w:val="0"/>
          <w:numId w:val="9"/>
        </w:numPr>
      </w:pPr>
      <w:r w:rsidRPr="00CB333D">
        <w:t xml:space="preserve">Чрез дерогация от параграф 3 помощ може да бъде отпусната за: </w:t>
      </w:r>
    </w:p>
    <w:p w:rsidR="00CE3798" w:rsidRPr="00CB333D" w:rsidRDefault="003F5A74" w:rsidP="000773EE">
      <w:pPr>
        <w:pStyle w:val="Bullet1"/>
        <w:numPr>
          <w:ilvl w:val="0"/>
          <w:numId w:val="12"/>
        </w:numPr>
      </w:pPr>
      <w:r w:rsidRPr="00CB333D">
        <w:t>придобиване на нови транспортни средства за шосеен, железопътен, вътрешноводен и морски транспорт, съответстващи на приетите стандарти на ЕС, когато придобиването се осъществява преди влизането в сила на тези стандарти, и в случаите, когато, след като стандартите са станали задължителни, те не се прилагат към транспортни средства, закупени преди тази дата;</w:t>
      </w:r>
    </w:p>
    <w:p w:rsidR="003F5A74" w:rsidRPr="00CB333D" w:rsidRDefault="003F5A74" w:rsidP="003F5A74">
      <w:pPr>
        <w:pStyle w:val="Bullet1"/>
      </w:pPr>
      <w:r w:rsidRPr="00CB333D">
        <w:t>операции по модернизиране на съществуващи транспортни средства за шосеен, железопътен, вътрешноводен и морски транспорт, когато стандартите на ЕС все още не са влезли в сила на датата на влизане в експлоатация на тези транспортни средства, или когато, след като са станали задължителни, не се прилагат със задна дата към тези превозни средства.</w:t>
      </w:r>
    </w:p>
    <w:p w:rsidR="002F6727" w:rsidRPr="00CB333D" w:rsidRDefault="00F030B3" w:rsidP="000773EE">
      <w:pPr>
        <w:pStyle w:val="NumPar1"/>
        <w:numPr>
          <w:ilvl w:val="0"/>
          <w:numId w:val="9"/>
        </w:numPr>
      </w:pPr>
      <w:r w:rsidRPr="00CB333D">
        <w:t>Допустимите разходи са инвестиционните разходи, необходими за постигане на равнище на опазване на околната среда, което е по-високо от равнището съгласно изискванията на стандартите на Съюза. Не се считат за допустими разходите, които не са пряко свързани с постигането на по-високото равнище на опазване на околната среда. По специално, допустимите разходи са следните:</w:t>
      </w:r>
    </w:p>
    <w:p w:rsidR="002F6727" w:rsidRPr="00CB333D" w:rsidRDefault="00443DD2" w:rsidP="00443DD2">
      <w:pPr>
        <w:pStyle w:val="Point1"/>
      </w:pPr>
      <w:r>
        <w:t>а)</w:t>
      </w:r>
      <w:r w:rsidRPr="00443DD2">
        <w:tab/>
      </w:r>
      <w:r w:rsidR="002F6727" w:rsidRPr="00CB333D">
        <w:t>когато разходите за инвестиране в опазване на околната среда могат да бъдат разграничени в общите инвестиционни разходи като отделна инвестиция, то тези определени разходи, свързани с опазването на околната среда, представляват допустимите разходи;</w:t>
      </w:r>
    </w:p>
    <w:p w:rsidR="002F6727" w:rsidRPr="00CB333D" w:rsidRDefault="00443DD2" w:rsidP="00443DD2">
      <w:pPr>
        <w:pStyle w:val="Point1"/>
      </w:pPr>
      <w:r>
        <w:t>б)</w:t>
      </w:r>
      <w:r w:rsidRPr="00443DD2">
        <w:tab/>
      </w:r>
      <w:r w:rsidR="001E52D0" w:rsidRPr="00CB333D">
        <w:t>във всички останали случаи, разходите за инвестиране в опазване на околната среда могат да бъдат установени чрез позоваване на подобна инвестиция с по-малко благоприятен ефект за опазването на околната среда, чието осъществяване би било правдоподобно без помощ. Разликата съставлява разходите за опазване на околната среда и представлява допустимите разходи.</w:t>
      </w:r>
    </w:p>
    <w:p w:rsidR="003E6370" w:rsidRPr="00CB333D" w:rsidRDefault="00F030B3" w:rsidP="00E03D90">
      <w:pPr>
        <w:pStyle w:val="NumPar1"/>
        <w:rPr>
          <w:rFonts w:eastAsia="Calibri"/>
        </w:rPr>
      </w:pPr>
      <w:r w:rsidRPr="00CB333D">
        <w:t xml:space="preserve">Интензитетът на помощ не надвишава [35] % от допустимите разходи. </w:t>
      </w:r>
    </w:p>
    <w:p w:rsidR="00F030B3" w:rsidRPr="00CB333D" w:rsidRDefault="00F030B3" w:rsidP="00E03D90">
      <w:pPr>
        <w:pStyle w:val="NumPar1"/>
      </w:pPr>
      <w:r w:rsidRPr="00CB333D">
        <w:t>Интензитетът на помощ може да се увеличи с [10] процентни пункта за помощи, предоставени на средни предприятия, и с [20] процентни пункта за помощи, предоставени на малки предприятия.</w:t>
      </w:r>
    </w:p>
    <w:p w:rsidR="001E52D0" w:rsidRPr="00CB333D" w:rsidRDefault="001E52D0" w:rsidP="000773EE">
      <w:pPr>
        <w:pStyle w:val="NumPar1"/>
        <w:numPr>
          <w:ilvl w:val="0"/>
          <w:numId w:val="9"/>
        </w:numPr>
      </w:pPr>
      <w:r w:rsidRPr="00CB333D">
        <w:t>Интензитетът на помощ може да се увеличи с [15] процентни пункта за инвестиции, осъществени в подпомагани региони, които отговарят на условията по член 107, параграф 3, буква а) от Договора, и с [5] процентни пункта за за инвестиции, осъществени в подпомагани региони, които отговарят на условията по член 107, параграф 3, буква в) от Договора.</w:t>
      </w:r>
    </w:p>
    <w:p w:rsidR="00F030B3" w:rsidRPr="00CB333D" w:rsidRDefault="00F030B3" w:rsidP="000773EE">
      <w:pPr>
        <w:pStyle w:val="NumPar1"/>
        <w:numPr>
          <w:ilvl w:val="0"/>
          <w:numId w:val="9"/>
        </w:numPr>
      </w:pPr>
      <w:r w:rsidRPr="00CB333D">
        <w:t>Помощите за инвестиции, свързани с управление на отпадъците на други предприятия, не са освободени съгласно настоящия член.</w:t>
      </w:r>
    </w:p>
    <w:p w:rsidR="00F030B3" w:rsidRPr="00CB333D" w:rsidRDefault="00F05D31" w:rsidP="00262C52">
      <w:pPr>
        <w:pStyle w:val="Titrearticle"/>
        <w:spacing w:after="480"/>
        <w:rPr>
          <w:b/>
        </w:rPr>
      </w:pPr>
      <w:r w:rsidRPr="00CB333D">
        <w:t>Член 35</w:t>
      </w:r>
      <w:r w:rsidRPr="00CB333D">
        <w:br/>
      </w:r>
      <w:r w:rsidRPr="00CB333D">
        <w:rPr>
          <w:b/>
        </w:rPr>
        <w:t xml:space="preserve">Помощи за ранно адаптиране на МСП към бъдещи стандарти на Съюза </w:t>
      </w:r>
    </w:p>
    <w:p w:rsidR="00F030B3" w:rsidRPr="00CB333D" w:rsidRDefault="00F030B3" w:rsidP="000773EE">
      <w:pPr>
        <w:pStyle w:val="NumPar1"/>
        <w:numPr>
          <w:ilvl w:val="0"/>
          <w:numId w:val="30"/>
        </w:numPr>
      </w:pPr>
      <w:r w:rsidRPr="00CB333D">
        <w:t>Помощите, позволяващи на [предприятия] да постигнат съответствие с нови стандарти на Съюза, които повишават равнището на опазване на околната среда и които все още не са влезли в сила,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w:t>
      </w:r>
    </w:p>
    <w:p w:rsidR="00F030B3" w:rsidRPr="00CB333D" w:rsidRDefault="00F030B3" w:rsidP="000773EE">
      <w:pPr>
        <w:pStyle w:val="NumPar1"/>
        <w:numPr>
          <w:ilvl w:val="0"/>
          <w:numId w:val="9"/>
        </w:numPr>
      </w:pPr>
      <w:r w:rsidRPr="00CB333D">
        <w:t>Стандартите на Съюза са приети и инвестицията е осъществена най-малко една година преди датата на влизане в сила на съответния стандарт.</w:t>
      </w:r>
    </w:p>
    <w:p w:rsidR="0092374A" w:rsidRPr="00CB333D" w:rsidRDefault="00F030B3" w:rsidP="000773EE">
      <w:pPr>
        <w:pStyle w:val="NumPar1"/>
        <w:numPr>
          <w:ilvl w:val="0"/>
          <w:numId w:val="9"/>
        </w:numPr>
      </w:pPr>
      <w:r w:rsidRPr="00CB333D">
        <w:t>Допустимите разходи са инвестиционните разходи, необходими за постигане на равнище на опазване на околната среда, което е по-високо от равнището съгласно изискванията на стандартите на Съюза. Не са допустими разходите, които не са пряко свързани с постигането на по-високото равнище на опазване на околната среда. По специално, допустимите разходи са следните:</w:t>
      </w:r>
    </w:p>
    <w:p w:rsidR="0092374A" w:rsidRPr="00CB333D" w:rsidRDefault="00443DD2" w:rsidP="00443DD2">
      <w:pPr>
        <w:pStyle w:val="Point1"/>
      </w:pPr>
      <w:r>
        <w:t>а)</w:t>
      </w:r>
      <w:r w:rsidRPr="00443DD2">
        <w:tab/>
      </w:r>
      <w:r w:rsidR="0092374A" w:rsidRPr="00CB333D">
        <w:t>когато разходите за инвестиране в опазване на околната среда могат да бъдат разграничени в общите инвестиционни разходи като отделна инвестиция, то тези определени разходи, свързани с опазването на околната среда, представляват допустимите разходи;</w:t>
      </w:r>
    </w:p>
    <w:p w:rsidR="0092374A" w:rsidRPr="00CB333D" w:rsidRDefault="00443DD2" w:rsidP="00443DD2">
      <w:pPr>
        <w:pStyle w:val="Point1"/>
      </w:pPr>
      <w:r>
        <w:t>б)</w:t>
      </w:r>
      <w:r w:rsidRPr="00443DD2">
        <w:tab/>
      </w:r>
      <w:r w:rsidR="001E52D0" w:rsidRPr="00CB333D">
        <w:t>във всички останали случаи разходите за инвестиране в опазване на околната среда могат да бъдат установени чрез позоваване на подобна инвестиция с по-малко благоприятен ефект за опазването на околната среда, чието осъществяване би било правдоподобно без помощ. Разликата съставлява разходите за опазване на околната среда и представлява допустимите разходи.</w:t>
      </w:r>
    </w:p>
    <w:p w:rsidR="00F030B3" w:rsidRPr="00CB333D" w:rsidRDefault="00F030B3" w:rsidP="000773EE">
      <w:pPr>
        <w:pStyle w:val="NumPar1"/>
        <w:numPr>
          <w:ilvl w:val="0"/>
          <w:numId w:val="9"/>
        </w:numPr>
      </w:pPr>
      <w:r w:rsidRPr="00CB333D">
        <w:t xml:space="preserve">Интензитетът на помощ не превишава: </w:t>
      </w:r>
    </w:p>
    <w:p w:rsidR="00F030B3" w:rsidRPr="00CB333D" w:rsidRDefault="0086274E" w:rsidP="0072300D">
      <w:pPr>
        <w:pStyle w:val="Bullet1"/>
      </w:pPr>
      <w:r w:rsidRPr="00CB333D">
        <w:t>[20] % от допустимите разходи за малки предприятия и [15] % от допустимите разходи за средни предприятия и [10] % от допустимите разходи за големи предприятия, ако осъществяването и приключването на инвестицията са настъпили повече от три години преди датата на влизане в сила на стандарта и допустимите разходи се изчисляват въз основа на точка 3, буква а) или точка 3, буква б).</w:t>
      </w:r>
    </w:p>
    <w:p w:rsidR="0092374A" w:rsidRPr="00CB333D" w:rsidRDefault="0086274E" w:rsidP="0072300D">
      <w:pPr>
        <w:pStyle w:val="Bullet1"/>
      </w:pPr>
      <w:r w:rsidRPr="00CB333D">
        <w:t>[15] % от допустимите разходи за малки предприятия и [10] % от допустимите разходи за средни предприятия и [5] % от допустимите разходи за големи предприятия, ако осъществяването и приключването на инвестицията са настъпили между една и три години преди датата на влизане в сила на стандарта и допустимите разходи се изчисляват въз основа на точка 3, буква а) или точка 3, буква б).</w:t>
      </w:r>
    </w:p>
    <w:p w:rsidR="0086274E" w:rsidRPr="00CB333D" w:rsidRDefault="001E52D0" w:rsidP="000773EE">
      <w:pPr>
        <w:pStyle w:val="NumPar1"/>
        <w:numPr>
          <w:ilvl w:val="0"/>
          <w:numId w:val="9"/>
        </w:numPr>
      </w:pPr>
      <w:r w:rsidRPr="00CB333D">
        <w:t>Интензитетът на помощ може да се увеличи с [15] процентни пункта за инвестиции, осъществени в подпомагани региони, които отговарят на условията по член 107, параграф 3, буква а) от Договора, и с [5] процентни пункта за инвестиции, осъществени в подпомагани региони, които отговарят на условията по член 107, параграф 3, буква в) от Договора.</w:t>
      </w:r>
    </w:p>
    <w:p w:rsidR="00D501C4" w:rsidRPr="00CB333D" w:rsidRDefault="00D501C4" w:rsidP="000773EE">
      <w:pPr>
        <w:pStyle w:val="NumPar1"/>
        <w:numPr>
          <w:ilvl w:val="0"/>
          <w:numId w:val="13"/>
        </w:numPr>
      </w:pPr>
      <w:r w:rsidRPr="00CB333D">
        <w:t>Помощите за инвестиции, свързани с управление на отпадъците на други предприятия, не са освободени съгласно настоящия член.</w:t>
      </w:r>
    </w:p>
    <w:p w:rsidR="00F030B3" w:rsidRPr="00CB333D" w:rsidRDefault="00F05D31" w:rsidP="00CD49E9">
      <w:pPr>
        <w:pStyle w:val="Titrearticle"/>
      </w:pPr>
      <w:r w:rsidRPr="00CB333D">
        <w:t>Член 36</w:t>
      </w:r>
      <w:r w:rsidRPr="00CB333D">
        <w:br/>
      </w:r>
      <w:r w:rsidRPr="00CB333D">
        <w:rPr>
          <w:b/>
        </w:rPr>
        <w:t>Инвестиционни помощи за мерки за икономии на енергия</w:t>
      </w:r>
    </w:p>
    <w:p w:rsidR="00F030B3" w:rsidRPr="00CB333D" w:rsidRDefault="00743826" w:rsidP="000773EE">
      <w:pPr>
        <w:pStyle w:val="NumPar1"/>
        <w:numPr>
          <w:ilvl w:val="0"/>
          <w:numId w:val="29"/>
        </w:numPr>
      </w:pPr>
      <w:r w:rsidRPr="00CB333D">
        <w:t xml:space="preserve">Инвестиционните помощи, които позволяват на предприятията да пестят енергия,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 </w:t>
      </w:r>
    </w:p>
    <w:p w:rsidR="00F030B3" w:rsidRPr="00CB333D" w:rsidRDefault="00506378" w:rsidP="000773EE">
      <w:pPr>
        <w:pStyle w:val="NumPar1"/>
        <w:numPr>
          <w:ilvl w:val="0"/>
          <w:numId w:val="9"/>
        </w:numPr>
      </w:pPr>
      <w:r w:rsidRPr="00CB333D">
        <w:t>Помощ не може да бъде предоставена в случаите, в които подобренията трябва да гарантират, че дружествата спазват стандартите на Съюза, които вече са приети, дори ако все още не са влезли в сила.</w:t>
      </w:r>
    </w:p>
    <w:p w:rsidR="00DE0C39" w:rsidRPr="00CB333D" w:rsidRDefault="00F030B3" w:rsidP="000773EE">
      <w:pPr>
        <w:pStyle w:val="NumPar1"/>
        <w:numPr>
          <w:ilvl w:val="0"/>
          <w:numId w:val="9"/>
        </w:numPr>
      </w:pPr>
      <w:r w:rsidRPr="00CB333D">
        <w:t>Допустимите са инвестиционните разходи, необходими за постигане на по-високо равнище на икономии на енергия. Не са допустими разходите, които не са пряко свързани с постигането на по-високото равнище на икономии на енергия. По специално, допустимите разходи са следните:</w:t>
      </w:r>
    </w:p>
    <w:p w:rsidR="00DE0C39" w:rsidRPr="00CB333D" w:rsidRDefault="00443DD2" w:rsidP="00443DD2">
      <w:pPr>
        <w:pStyle w:val="Point1"/>
      </w:pPr>
      <w:r>
        <w:t>а)</w:t>
      </w:r>
      <w:r w:rsidRPr="00443DD2">
        <w:tab/>
      </w:r>
      <w:r w:rsidR="00DE0C39" w:rsidRPr="00CB333D">
        <w:t>когато разходите за инвестиране в икономии на енергия могат да бъдат разграничени сред общите инвестиционни разходи като отделна инвестиция, то тези разходи за икономии на енергия, представляват допустими разходи;</w:t>
      </w:r>
    </w:p>
    <w:p w:rsidR="00DE0C39" w:rsidRPr="00CB333D" w:rsidRDefault="00443DD2" w:rsidP="00443DD2">
      <w:pPr>
        <w:pStyle w:val="Point1"/>
      </w:pPr>
      <w:r>
        <w:t>б)</w:t>
      </w:r>
      <w:r w:rsidRPr="00443DD2">
        <w:tab/>
      </w:r>
      <w:r w:rsidR="00316A49" w:rsidRPr="00CB333D">
        <w:t xml:space="preserve">във всички останали случаи разходите за инвестиране в икономии на енергия могат да бъдат установени чрез позоваване на подобна инвестиция с по-малки икономии на енергия, чието осъществяване би било правдоподобно без помощ. Разликата съставлява разходите за икономии на енергия и представлява допустимите разходи. </w:t>
      </w:r>
    </w:p>
    <w:p w:rsidR="00DE0C39" w:rsidRPr="00CB333D" w:rsidRDefault="00F030B3" w:rsidP="000773EE">
      <w:pPr>
        <w:pStyle w:val="NumPar1"/>
        <w:numPr>
          <w:ilvl w:val="0"/>
          <w:numId w:val="9"/>
        </w:numPr>
        <w:rPr>
          <w:rFonts w:eastAsia="Calibri"/>
        </w:rPr>
      </w:pPr>
      <w:r w:rsidRPr="00CB333D">
        <w:t>Интензитетът на помощ не надвишава [20] % от допустимите разходи.</w:t>
      </w:r>
    </w:p>
    <w:p w:rsidR="00F030B3" w:rsidRPr="00CB333D" w:rsidRDefault="00F030B3" w:rsidP="000773EE">
      <w:pPr>
        <w:pStyle w:val="NumPar1"/>
        <w:numPr>
          <w:ilvl w:val="0"/>
          <w:numId w:val="9"/>
        </w:numPr>
      </w:pPr>
      <w:r w:rsidRPr="00CB333D">
        <w:t>Интензитетът на помощ може да се увеличи с [20] процентни пункта за помощи, предоставени на малки предприятия, и с [10] процентни пункта за помощи, предоставени на средни предприятия.</w:t>
      </w:r>
    </w:p>
    <w:p w:rsidR="00F030B3" w:rsidRPr="00CB333D" w:rsidRDefault="00316A49" w:rsidP="000773EE">
      <w:pPr>
        <w:pStyle w:val="NumPar1"/>
        <w:numPr>
          <w:ilvl w:val="0"/>
          <w:numId w:val="9"/>
        </w:numPr>
      </w:pPr>
      <w:r w:rsidRPr="00CB333D">
        <w:t xml:space="preserve">Интензитетът на помощ може да се увеличи с [15] процентни пункта за инвестиции, осъществени в подпомагани региони, които отговарят на условията по член 107, параграф 3, буква а) от Договора, и с [5] процентни пункта за за инвестиции, осъществени в подпомагани региони, които отговарят на условията по член 107, параграф 3, буква в) от Договора. </w:t>
      </w:r>
    </w:p>
    <w:p w:rsidR="00746E6C" w:rsidRPr="00CB333D" w:rsidRDefault="00746E6C" w:rsidP="002E7281">
      <w:pPr>
        <w:pStyle w:val="Titrearticle"/>
        <w:spacing w:before="0"/>
      </w:pPr>
      <w:r w:rsidRPr="00CB333D">
        <w:t>Член 37</w:t>
      </w:r>
    </w:p>
    <w:p w:rsidR="00746E6C" w:rsidRPr="00CB333D" w:rsidRDefault="00402823" w:rsidP="002E7281">
      <w:pPr>
        <w:pStyle w:val="Titrearticle"/>
        <w:spacing w:before="0"/>
        <w:rPr>
          <w:b/>
        </w:rPr>
      </w:pPr>
      <w:r w:rsidRPr="00CB333D">
        <w:rPr>
          <w:b/>
        </w:rPr>
        <w:t>Помощи за проекти за енергийна ефективност</w:t>
      </w:r>
    </w:p>
    <w:p w:rsidR="00402823" w:rsidRPr="00CB333D" w:rsidRDefault="00402823" w:rsidP="000773EE">
      <w:pPr>
        <w:pStyle w:val="NumPar1"/>
        <w:numPr>
          <w:ilvl w:val="0"/>
          <w:numId w:val="28"/>
        </w:numPr>
      </w:pPr>
      <w:r w:rsidRPr="00CB333D">
        <w:t xml:space="preserve">Помощите за енергийна ефективност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 </w:t>
      </w:r>
    </w:p>
    <w:p w:rsidR="00402823" w:rsidRPr="00CB333D" w:rsidRDefault="001A361D" w:rsidP="00E03D90">
      <w:pPr>
        <w:pStyle w:val="NumPar1"/>
      </w:pPr>
      <w:r w:rsidRPr="00CB333D">
        <w:t xml:space="preserve">Допустими за помощ съгласно настоящия член са проекти за енергийна ефективност на сгради. </w:t>
      </w:r>
    </w:p>
    <w:p w:rsidR="00402823" w:rsidRPr="00CB333D" w:rsidRDefault="00402823" w:rsidP="00E03D90">
      <w:pPr>
        <w:pStyle w:val="NumPar1"/>
      </w:pPr>
      <w:r w:rsidRPr="00CB333D">
        <w:t xml:space="preserve">Помощта може да бъде предоставяна под формата на заеми със субсидирана лихва, отпуснати на фонд за енергийна ефективност или на финансов посредник, които да го прехвърлят изцяло на собствениците на сгради. </w:t>
      </w:r>
    </w:p>
    <w:p w:rsidR="00CB1D17" w:rsidRPr="00CB333D" w:rsidRDefault="00F005C7" w:rsidP="00241D8C">
      <w:pPr>
        <w:pStyle w:val="NumPar1"/>
      </w:pPr>
      <w:r w:rsidRPr="00CB333D">
        <w:t>Номиналната стойност на заема, на равнище проект, не надхвърля [10] млн. EUR.</w:t>
      </w:r>
    </w:p>
    <w:p w:rsidR="00F005C7" w:rsidRPr="00CB333D" w:rsidRDefault="001A361D" w:rsidP="00E03D90">
      <w:pPr>
        <w:pStyle w:val="NumPar1"/>
      </w:pPr>
      <w:r w:rsidRPr="00CB333D">
        <w:t xml:space="preserve">Погасяването от страна на собствениците на сгради към фонда за енергийна ефективност или към финансовия посредник е не по-малко от номиналната стойност на заема. </w:t>
      </w:r>
    </w:p>
    <w:p w:rsidR="00402823" w:rsidRPr="00CB333D" w:rsidRDefault="00402823" w:rsidP="00E03D90">
      <w:pPr>
        <w:pStyle w:val="NumPar1"/>
      </w:pPr>
      <w:r w:rsidRPr="00CB333D">
        <w:t>Помощите за енергийна ефективност трябва да привлекат допълнителни инвестиции от частни инвеститори, достигащи поне 30 % от цялото финансиране, предоставено за проект  за енергийна ефективност. Когато помощ се предоставя от фонд за енергийна ефективност, привличането на частни инвестиции може да се извърши на равнище фонд за енергийна ефективност и/или на равнище проекти за енергийна ефективност, така че да бъде събрана обща сума, представляваща поне 30 % от цялото финансиране, предоставено на проект за енергийна ефективност.</w:t>
      </w:r>
    </w:p>
    <w:p w:rsidR="00402823" w:rsidRPr="00CB333D" w:rsidRDefault="00402823" w:rsidP="00E03D90">
      <w:pPr>
        <w:pStyle w:val="NumPar1"/>
      </w:pPr>
      <w:r w:rsidRPr="00CB333D">
        <w:t xml:space="preserve">Когато отпускат помощи за енергийна ефективност, държавите членки могат да създават фондове за енергийна ефективност и/или могат да използват финансови посредници. В такъв случай трябва да бъдат изпълнени следните условия: </w:t>
      </w:r>
    </w:p>
    <w:p w:rsidR="00402823" w:rsidRPr="00CB333D" w:rsidRDefault="00443DD2" w:rsidP="00443DD2">
      <w:pPr>
        <w:pStyle w:val="Point1"/>
      </w:pPr>
      <w:r>
        <w:t>а)</w:t>
      </w:r>
      <w:r w:rsidRPr="00443DD2">
        <w:tab/>
      </w:r>
      <w:r w:rsidR="002A731D" w:rsidRPr="00CB333D">
        <w:t>Финансовите посредници и управителите на фондове за енергийна ефективност се подбират посредством открита, прозрачна и недискриминационна процедура в съответствие с приложимите правила на Съюза и на държавите членки. В частност, не се допуска дискриминация въз основа на тяхното място на установяване или регистриране независимо от държавата членка. От финансовите посредници и от управителите на фондове за енергийна ефективност може да се изисква да отговарят на предварително определени критерии, които са обективно оправдани с естеството на инвестициите;</w:t>
      </w:r>
    </w:p>
    <w:p w:rsidR="00402823" w:rsidRPr="00CB333D" w:rsidRDefault="00443DD2" w:rsidP="00443DD2">
      <w:pPr>
        <w:pStyle w:val="Point1"/>
      </w:pPr>
      <w:r>
        <w:t>б)</w:t>
      </w:r>
      <w:r w:rsidRPr="00443DD2">
        <w:tab/>
      </w:r>
      <w:r w:rsidR="00402823" w:rsidRPr="00CB333D">
        <w:t>Частните инвеститори се подбират чрез открита, прозрачна и недискриминационна процедура в съответствие с приложимото национално право и правото на Съюза с цел да бъдат установени подходящи механизми за споделяне на рисковете и ползите, чрез които се отдава предпочитание на асиметричното разпределение на печалбата пред защитата срещу рисковете от загуби. Ако частните инвеститори не се подбират по такава процедура, справедливият процент на възвращаемост за частните инвеститори се определя от независим експерт, избран чрез открита, прозрачна и недискриминационна процедура;</w:t>
      </w:r>
    </w:p>
    <w:p w:rsidR="00402823" w:rsidRPr="00CB333D" w:rsidRDefault="00443DD2" w:rsidP="00443DD2">
      <w:pPr>
        <w:pStyle w:val="Point1"/>
      </w:pPr>
      <w:r>
        <w:t>в)</w:t>
      </w:r>
      <w:r w:rsidRPr="00443DD2">
        <w:tab/>
      </w:r>
      <w:r w:rsidR="00402823" w:rsidRPr="00CB333D">
        <w:t>В случай на асиметрично разпределяне на загубата между публичните и частните инвеститори, първата загуба, поета от публичния инвеститор, се ограничава до [25 %] от цялата инвестиция, но не над максималния размер на помощ, установен в параграф 4;</w:t>
      </w:r>
    </w:p>
    <w:p w:rsidR="00402823" w:rsidRPr="00CB333D" w:rsidRDefault="00443DD2" w:rsidP="00443DD2">
      <w:pPr>
        <w:pStyle w:val="Point1"/>
      </w:pPr>
      <w:r>
        <w:t>г)</w:t>
      </w:r>
      <w:r w:rsidRPr="00443DD2">
        <w:tab/>
      </w:r>
      <w:r w:rsidR="00402823" w:rsidRPr="00CB333D">
        <w:t>На инвеститорите се разрешава да бъдат представени в органите, натоварени с управлението на фонда за енергийна ефективност, като например надзорния съвет или консултативния комитет.</w:t>
      </w:r>
    </w:p>
    <w:p w:rsidR="00402823" w:rsidRPr="00CB333D" w:rsidRDefault="00443DD2" w:rsidP="00443DD2">
      <w:pPr>
        <w:pStyle w:val="Point1"/>
      </w:pPr>
      <w:r>
        <w:t>д)</w:t>
      </w:r>
      <w:r w:rsidRPr="00443DD2">
        <w:tab/>
      </w:r>
      <w:r w:rsidR="00402823" w:rsidRPr="00CB333D">
        <w:t>Фондовете за енергийна ефективност се учредяват в съответствие с приложимите закони и се извършва финансов и правен анализ, за да се гарантира стабилна търговска инвестиционна стратегия.</w:t>
      </w:r>
    </w:p>
    <w:p w:rsidR="00402823" w:rsidRPr="00CB333D" w:rsidRDefault="002A731D" w:rsidP="00E03D90">
      <w:pPr>
        <w:pStyle w:val="NumPar1"/>
      </w:pPr>
      <w:r w:rsidRPr="00CB333D">
        <w:t>Финансовите посредници и фондовете за енергийна ефективност се управляват на търговски принцип и гарантират, че решенията за финансиране се вземат с цел постигане на печалба. Приема се, че това е така, когато финансовите посредници и, според случая, фондовете за енергийна ефективност отговарят на следните условия:</w:t>
      </w:r>
    </w:p>
    <w:p w:rsidR="00402823" w:rsidRPr="00CB333D" w:rsidRDefault="00443DD2" w:rsidP="00443DD2">
      <w:pPr>
        <w:pStyle w:val="Point1"/>
      </w:pPr>
      <w:r>
        <w:t>а)</w:t>
      </w:r>
      <w:r w:rsidRPr="00443DD2">
        <w:tab/>
      </w:r>
      <w:r w:rsidR="002A731D" w:rsidRPr="00CB333D">
        <w:t xml:space="preserve">те са задължени по закон или договор да действат добросъвестно и с грижата на професионален управител, както и да избягват конфликтите на интереси. Те прилагат най-добрите практики и подлежат на регулаторно наблюдение; </w:t>
      </w:r>
    </w:p>
    <w:p w:rsidR="00402823" w:rsidRPr="00CB333D" w:rsidRDefault="00443DD2" w:rsidP="00443DD2">
      <w:pPr>
        <w:pStyle w:val="Point1"/>
      </w:pPr>
      <w:r>
        <w:t>б)</w:t>
      </w:r>
      <w:r w:rsidRPr="00443DD2">
        <w:tab/>
      </w:r>
      <w:r w:rsidR="00402823" w:rsidRPr="00CB333D">
        <w:t xml:space="preserve">тяхното възнаграждение съответства на пазарните практики. Това изискване се счита за изпълнено, когато управителят е избран чрез открита, прозрачна и недискриминационна конкурентна процедура въз основа на обективни критерии, свързани с опита, експертните знания и оперативния и финансовия капацитет; </w:t>
      </w:r>
    </w:p>
    <w:p w:rsidR="00402823" w:rsidRPr="00CB333D" w:rsidRDefault="00443DD2" w:rsidP="00443DD2">
      <w:pPr>
        <w:pStyle w:val="Point1"/>
      </w:pPr>
      <w:r>
        <w:t>в)</w:t>
      </w:r>
      <w:r w:rsidRPr="00443DD2">
        <w:tab/>
      </w:r>
      <w:r w:rsidR="002A731D" w:rsidRPr="00CB333D">
        <w:t xml:space="preserve">те получават възнаграждение, обвързано с постигнатите резултати, или споделят част от инвестиционните рискове, като съинвестират собствени средства, така че техните интереси постоянно да отговарят на интересите на публичния инвеститор; </w:t>
      </w:r>
    </w:p>
    <w:p w:rsidR="00402823" w:rsidRPr="00CB333D" w:rsidRDefault="00443DD2" w:rsidP="00443DD2">
      <w:pPr>
        <w:pStyle w:val="Point1"/>
      </w:pPr>
      <w:r>
        <w:t>г)</w:t>
      </w:r>
      <w:r w:rsidRPr="00443DD2">
        <w:tab/>
      </w:r>
      <w:r w:rsidR="002A731D" w:rsidRPr="00CB333D">
        <w:t xml:space="preserve">те изготвят инвестиционна стратегия, критерии и график на инвестициите в проекти за енергийна ефективност, с които установяват предварително тяхната финансовата жизнеспособност и очакваното им въздействие върху енергийната ефективност; </w:t>
      </w:r>
    </w:p>
    <w:p w:rsidR="00402823" w:rsidRPr="00CB333D" w:rsidRDefault="00443DD2" w:rsidP="00443DD2">
      <w:pPr>
        <w:pStyle w:val="Point1"/>
      </w:pPr>
      <w:r>
        <w:t>д)</w:t>
      </w:r>
      <w:r w:rsidRPr="00443DD2">
        <w:tab/>
      </w:r>
      <w:r w:rsidR="00402823" w:rsidRPr="00CB333D">
        <w:t>за фонда за енергийна ефективност или за публичните средства, вложени в него, е налице ясна и реалистична стратегия за излизане, която стратегия да позволи на пазара да финансира проекти за енергийна ефективност, когато пазарът е готов за това.</w:t>
      </w:r>
    </w:p>
    <w:p w:rsidR="00402823" w:rsidRPr="00CB333D" w:rsidRDefault="00AD53A9" w:rsidP="00E03D90">
      <w:pPr>
        <w:pStyle w:val="NumPar1"/>
      </w:pPr>
      <w:r w:rsidRPr="00CB333D">
        <w:t xml:space="preserve">По силата на настоящия член не се освобождават подобренията на енергийната ефективност, осигуряващи на бенефициера съответствие с вече приети стандарти на Съюза. </w:t>
      </w:r>
    </w:p>
    <w:p w:rsidR="00F030B3" w:rsidRPr="00CB333D" w:rsidRDefault="003A0163" w:rsidP="004F7AD3">
      <w:pPr>
        <w:pStyle w:val="Titrearticle"/>
      </w:pPr>
      <w:r w:rsidRPr="00CB333D">
        <w:t>Член 38</w:t>
      </w:r>
      <w:r w:rsidRPr="00CB333D">
        <w:br/>
      </w:r>
      <w:r w:rsidRPr="00CB333D">
        <w:rPr>
          <w:b/>
        </w:rPr>
        <w:t>Инвестиционни помощи за високоефективно комбинирано производство на енергия</w:t>
      </w:r>
    </w:p>
    <w:p w:rsidR="00F030B3" w:rsidRPr="00CB333D" w:rsidRDefault="00506378" w:rsidP="000773EE">
      <w:pPr>
        <w:pStyle w:val="NumPar1"/>
        <w:numPr>
          <w:ilvl w:val="0"/>
          <w:numId w:val="27"/>
        </w:numPr>
      </w:pPr>
      <w:r w:rsidRPr="00CB333D">
        <w:t>Инвестиционните помощи за високоефективно комбинирано производство на енергия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w:t>
      </w:r>
    </w:p>
    <w:p w:rsidR="00F030B3" w:rsidRPr="00CB333D" w:rsidRDefault="00F030B3" w:rsidP="000773EE">
      <w:pPr>
        <w:pStyle w:val="NumPar1"/>
        <w:numPr>
          <w:ilvl w:val="0"/>
          <w:numId w:val="9"/>
        </w:numPr>
      </w:pPr>
      <w:r w:rsidRPr="00CB333D">
        <w:t>Новият агрегат за комбинирано производство на енергия като цяло трябва да постига икономии на първична енергия в сравнение с разделното производство, както е посочено в Директива 2012/27/ЕС</w:t>
      </w:r>
      <w:r w:rsidRPr="00CB333D">
        <w:rPr>
          <w:rStyle w:val="FootnoteReference"/>
        </w:rPr>
        <w:footnoteReference w:id="32"/>
      </w:r>
      <w:r w:rsidRPr="00CB333D">
        <w:t>. Подобряването на съществуваща единица за комбинирано производство на енергия или превръщането на съществуваща електроцентрала в единица за комбинирано производство на енергия трябва да доведе до спестяване на основна енергия спрямо първоначалната ситуация.</w:t>
      </w:r>
    </w:p>
    <w:p w:rsidR="00F53F42" w:rsidRPr="00CB333D" w:rsidRDefault="00F53F42" w:rsidP="00241D8C">
      <w:pPr>
        <w:pStyle w:val="NumPar1"/>
      </w:pPr>
      <w:r w:rsidRPr="00CB333D">
        <w:t>Инвестиционната помощ се отпуска само на инсталирани нови [или реновирани] мощности.</w:t>
      </w:r>
    </w:p>
    <w:p w:rsidR="00F030B3" w:rsidRPr="00CB333D" w:rsidRDefault="00F030B3" w:rsidP="00AE57C5">
      <w:pPr>
        <w:pStyle w:val="NumPar1"/>
      </w:pPr>
      <w:r w:rsidRPr="00CB333D">
        <w:t>Допустимите разходи са инвестиционните разходи за допълнителното оборудване, необходимо на инсталацията, за да може да функционира като високоефективна инсталация за комбинирано производство на енергия или за нейното модернизиране до по-висока ефективност, когато съществуващата инсталация вече е достигнала прага на висока ефективност.</w:t>
      </w:r>
    </w:p>
    <w:p w:rsidR="00B711E4" w:rsidRPr="00CB333D" w:rsidRDefault="00141233" w:rsidP="000773EE">
      <w:pPr>
        <w:pStyle w:val="NumPar1"/>
        <w:numPr>
          <w:ilvl w:val="0"/>
          <w:numId w:val="9"/>
        </w:numPr>
      </w:pPr>
      <w:r w:rsidRPr="00CB333D">
        <w:t>Интензитетът на помощ не надвишава [45] % от допустимите разходи. Интензитетът на помощ може да се увеличи с [20] процентни пункта за помощи, предоставени на малки предприятия, и с [10] процентни пункта за помощи, предоставени на средни предприятия.</w:t>
      </w:r>
    </w:p>
    <w:p w:rsidR="00C73F1A" w:rsidRPr="00CB333D" w:rsidRDefault="00D830B2" w:rsidP="00E03D90">
      <w:pPr>
        <w:pStyle w:val="NumPar1"/>
      </w:pPr>
      <w:r w:rsidRPr="00CB333D">
        <w:t>Интензитетът на помощ може да се увеличи с [15] процентни пункта за инвестиции, осъществени в подпомагани региони, които отговарят на условията по член 107, параграф 3, буква а) от Договора, и с [5] процентни пункта за за инвестиции, осъществени в подпомагани региони, които отговарят на условията по член 107, параграф 3, буква в) от Договора.</w:t>
      </w:r>
    </w:p>
    <w:p w:rsidR="00316A49" w:rsidRPr="00CB333D" w:rsidRDefault="00AE57C5" w:rsidP="00AE57C5">
      <w:pPr>
        <w:pStyle w:val="NumPar1"/>
      </w:pPr>
      <w:r w:rsidRPr="00CB333D">
        <w:t>Помощите за инвестиции, свързани с управление на отпадъците на други предприятия, не са освободени съгласно настоящия член.</w:t>
      </w:r>
    </w:p>
    <w:p w:rsidR="00F030B3" w:rsidRPr="00CB333D" w:rsidRDefault="003A0163" w:rsidP="00D004B8">
      <w:pPr>
        <w:pStyle w:val="Titrearticle"/>
        <w:keepLines/>
        <w:rPr>
          <w:b/>
        </w:rPr>
      </w:pPr>
      <w:r w:rsidRPr="00CB333D">
        <w:t>Член 39a</w:t>
      </w:r>
      <w:r w:rsidRPr="00CB333D">
        <w:br/>
      </w:r>
      <w:r w:rsidRPr="00CB333D">
        <w:rPr>
          <w:b/>
        </w:rPr>
        <w:t>Инвестиционни помощи за насърчаване на производството на енергия от възобновяеми източници</w:t>
      </w:r>
    </w:p>
    <w:p w:rsidR="00F030B3" w:rsidRPr="00CB333D" w:rsidRDefault="001E5305" w:rsidP="000773EE">
      <w:pPr>
        <w:pStyle w:val="NumPar1"/>
        <w:numPr>
          <w:ilvl w:val="0"/>
          <w:numId w:val="26"/>
        </w:numPr>
      </w:pPr>
      <w:r w:rsidRPr="00CB333D">
        <w:t xml:space="preserve">Инвестиционните помощи за насърчаване на производството на енергия от възобновяеми енергийни източници е съвместима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 </w:t>
      </w:r>
    </w:p>
    <w:p w:rsidR="001E5305" w:rsidRPr="00CB333D" w:rsidRDefault="001E5305" w:rsidP="00E03D90">
      <w:pPr>
        <w:pStyle w:val="NumPar1"/>
      </w:pPr>
      <w:r w:rsidRPr="00CB333D">
        <w:t>Помощите за производство на биогорива следва да бъдат освободени от задължението за уведомяване само доколкото инвестициите не се използват или производството на биогорива, произведени от зърнени култури и други култури, богати на скорбяла, захар и маслодайни култури, както е определено в предложението на Комисията COM(2012)595</w:t>
      </w:r>
      <w:r w:rsidRPr="00CB333D">
        <w:rPr>
          <w:rStyle w:val="FootnoteReference"/>
        </w:rPr>
        <w:footnoteReference w:id="33"/>
      </w:r>
      <w:r w:rsidRPr="00CB333D">
        <w:t xml:space="preserve">. </w:t>
      </w:r>
    </w:p>
    <w:p w:rsidR="00F030B3" w:rsidRPr="00CB333D" w:rsidRDefault="00F030B3" w:rsidP="000773EE">
      <w:pPr>
        <w:pStyle w:val="NumPar1"/>
        <w:numPr>
          <w:ilvl w:val="0"/>
          <w:numId w:val="9"/>
        </w:numPr>
      </w:pPr>
      <w:r w:rsidRPr="00CB333D">
        <w:t>Инвестиционни помощи се отпускат само за нови инсталации.</w:t>
      </w:r>
    </w:p>
    <w:p w:rsidR="00F030B3" w:rsidRPr="00CB333D" w:rsidRDefault="00F030B3" w:rsidP="000773EE">
      <w:pPr>
        <w:pStyle w:val="NumPar1"/>
        <w:numPr>
          <w:ilvl w:val="0"/>
          <w:numId w:val="9"/>
        </w:numPr>
      </w:pPr>
      <w:r w:rsidRPr="00CB333D">
        <w:t>Допустимите разходи са инвестиционните разходи, необходими за постигане на по-високо равнище на опазване на околната среда. Не са допустими разходите, които не са пряко свързани с постигането на по-високото равнище на опазване на околната среда. По специално, допустимите разходи са следните:</w:t>
      </w:r>
    </w:p>
    <w:p w:rsidR="009E4BEB" w:rsidRPr="00CB333D" w:rsidRDefault="00443DD2" w:rsidP="00443DD2">
      <w:pPr>
        <w:pStyle w:val="Point1"/>
      </w:pPr>
      <w:r>
        <w:t>а)</w:t>
      </w:r>
      <w:r w:rsidRPr="00443DD2">
        <w:tab/>
      </w:r>
      <w:r w:rsidR="009E4BEB" w:rsidRPr="00CB333D">
        <w:t>когато разходите за инвестиране в опазване на околната среда могат да бъдат разграничени в общите инвестиционни разходи като отделна инвестиция, то тези определени разходи, свързани с опазването на околната среда, представляват допустимите разходи;</w:t>
      </w:r>
    </w:p>
    <w:p w:rsidR="009E4BEB" w:rsidRPr="00CB333D" w:rsidRDefault="00443DD2" w:rsidP="00443DD2">
      <w:pPr>
        <w:pStyle w:val="Point1"/>
      </w:pPr>
      <w:r>
        <w:t>б)</w:t>
      </w:r>
      <w:r w:rsidRPr="00443DD2">
        <w:tab/>
      </w:r>
      <w:r w:rsidR="0045744B" w:rsidRPr="00CB333D">
        <w:t>[във всички останали случаи разходите за инвестиране в опазване на околната среда могат да бъдат установени чрез позоваване на подобна инвестиция с по-малко благоприятен ефект за опазването на околната среда, чието осъществяване би било правдоподобно без помощ; Разликата съставлява разходите за опазване на околната среда и представлява допустимите разходи].</w:t>
      </w:r>
    </w:p>
    <w:p w:rsidR="00351D4C" w:rsidRPr="00CB333D" w:rsidRDefault="00351D4C" w:rsidP="000773EE">
      <w:pPr>
        <w:pStyle w:val="NumPar1"/>
        <w:numPr>
          <w:ilvl w:val="0"/>
          <w:numId w:val="9"/>
        </w:numPr>
      </w:pPr>
      <w:r w:rsidRPr="00CB333D">
        <w:t>Ако електроенергията се доставя до мрежата, производителите или, където е уместно колективните потребители, се подлагат на стандартни отговорности за балансиране, когато съществуват конкурентни балансиращи пазари в рамките на деня.</w:t>
      </w:r>
    </w:p>
    <w:p w:rsidR="004F7AD3" w:rsidRPr="00CB333D" w:rsidRDefault="00F030B3" w:rsidP="000773EE">
      <w:pPr>
        <w:pStyle w:val="NumPar1"/>
        <w:numPr>
          <w:ilvl w:val="0"/>
          <w:numId w:val="9"/>
        </w:numPr>
      </w:pPr>
      <w:r w:rsidRPr="00CB333D">
        <w:t>Интензитетът на помощ не надвишава [45] % от допустимите разходи.</w:t>
      </w:r>
    </w:p>
    <w:p w:rsidR="004F7AD3" w:rsidRPr="00CB333D" w:rsidRDefault="00F030B3" w:rsidP="000773EE">
      <w:pPr>
        <w:pStyle w:val="NumPar1"/>
        <w:numPr>
          <w:ilvl w:val="0"/>
          <w:numId w:val="9"/>
        </w:numPr>
      </w:pPr>
      <w:r w:rsidRPr="00CB333D">
        <w:t>Интензитетът на помощ може да се увеличи с [20] процентни пункта за помощи, предоставени на малки предприятия, и с [10] процентни пункта за помощи, предоставени на средни предприятия.</w:t>
      </w:r>
    </w:p>
    <w:p w:rsidR="00D830B2" w:rsidRPr="00CB333D" w:rsidRDefault="00D830B2" w:rsidP="00E03D90">
      <w:pPr>
        <w:pStyle w:val="NumPar1"/>
      </w:pPr>
      <w:r w:rsidRPr="00CB333D">
        <w:t>Интензитетът на помощ може да се увеличи с [15] процентни пункта за инвестиции, осъществени в подпомагани региони, които отговарят на условията по член 107, параграф 3, буква а) от Договора, и с [5] процентни пункта за за инвестиции, осъществени в подпомагани региони, които отговарят на условията по член 107, параграф 3, буква в) от Договора.</w:t>
      </w:r>
    </w:p>
    <w:p w:rsidR="001677DC" w:rsidRPr="00CB333D" w:rsidRDefault="009E4BEB" w:rsidP="00AC39A5">
      <w:pPr>
        <w:pStyle w:val="Titrearticle"/>
        <w:rPr>
          <w:b/>
        </w:rPr>
      </w:pPr>
      <w:r w:rsidRPr="00CB333D">
        <w:t>Член 39б</w:t>
      </w:r>
      <w:r w:rsidRPr="00CB333D">
        <w:br/>
      </w:r>
      <w:r w:rsidRPr="00CB333D">
        <w:rPr>
          <w:b/>
        </w:rPr>
        <w:t>Оперативни помощи за насърчаване на производството на електроенергия от възобновяеми източници</w:t>
      </w:r>
    </w:p>
    <w:p w:rsidR="00490830" w:rsidRPr="00CB333D" w:rsidRDefault="00490830" w:rsidP="000773EE">
      <w:pPr>
        <w:pStyle w:val="NumPar1"/>
        <w:numPr>
          <w:ilvl w:val="0"/>
          <w:numId w:val="62"/>
        </w:numPr>
      </w:pPr>
      <w:r w:rsidRPr="00CB333D">
        <w:t xml:space="preserve">Помощите за насърчаване на производството на електроенергия от възобновяеми източници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 </w:t>
      </w:r>
    </w:p>
    <w:p w:rsidR="00490830" w:rsidRPr="00CB333D" w:rsidRDefault="00490830" w:rsidP="000773EE">
      <w:pPr>
        <w:pStyle w:val="NumPar1"/>
        <w:numPr>
          <w:ilvl w:val="0"/>
          <w:numId w:val="62"/>
        </w:numPr>
      </w:pPr>
      <w:r w:rsidRPr="00CB333D">
        <w:t xml:space="preserve">Помощ се отпуска в резултат на действително конкурентна тръжна процедура въз основа на ясни, прозрачни и недискриминационни критерии. На всички производители на електроенергия от възобновяеми източници се позволява на недискриминационна основа да се конкурират за помощ. </w:t>
      </w:r>
    </w:p>
    <w:p w:rsidR="00AC2791" w:rsidRPr="00CB333D" w:rsidRDefault="00AC2791" w:rsidP="000773EE">
      <w:pPr>
        <w:pStyle w:val="NumPar1"/>
        <w:numPr>
          <w:ilvl w:val="0"/>
          <w:numId w:val="62"/>
        </w:numPr>
      </w:pPr>
      <w:r w:rsidRPr="00CB333D">
        <w:t xml:space="preserve">Държавите членки могат да изискват частта от общия бюджет, заделена за един възобновяем енергиен източник, да е под [80] %. </w:t>
      </w:r>
    </w:p>
    <w:p w:rsidR="00AC2791" w:rsidRPr="00CB333D" w:rsidRDefault="006645D9" w:rsidP="000773EE">
      <w:pPr>
        <w:pStyle w:val="NumPar1"/>
        <w:numPr>
          <w:ilvl w:val="0"/>
          <w:numId w:val="62"/>
        </w:numPr>
      </w:pPr>
      <w:r w:rsidRPr="00CB333D">
        <w:t>Държавите членки могат да изключат от тръжната процедура електроенергията, произведена от конкретни възобновяеми източници в някои географски зони, ако е това е необходимо, за да се осигури стабилността на мрежите. Те могат също да изключат електроенергията, произведена от биомаса като източник на енергия. Никаква друга оперативна помощ не може да се предоставя за производство на електроенергия, изключено съгласно тази разпоредба.</w:t>
      </w:r>
    </w:p>
    <w:p w:rsidR="00AC2791" w:rsidRPr="00CB333D" w:rsidRDefault="00AC2791" w:rsidP="000773EE">
      <w:pPr>
        <w:pStyle w:val="NumPar1"/>
        <w:numPr>
          <w:ilvl w:val="0"/>
          <w:numId w:val="62"/>
        </w:numPr>
      </w:pPr>
      <w:r w:rsidRPr="00CB333D">
        <w:t>Помощта се предоставя под формата на преференциални премии.</w:t>
      </w:r>
    </w:p>
    <w:p w:rsidR="00AC2791" w:rsidRPr="00CB333D" w:rsidRDefault="00AC2791" w:rsidP="000773EE">
      <w:pPr>
        <w:pStyle w:val="NumPar1"/>
        <w:numPr>
          <w:ilvl w:val="0"/>
          <w:numId w:val="62"/>
        </w:numPr>
      </w:pPr>
      <w:r w:rsidRPr="00CB333D">
        <w:t>Помощ се отпуска само докато централата, произвеждаща електроенергия от възобновяеми източници, е напълно амортизирана в съответствие с общоприетите счетоводни принципи. Инвестиционната помощ, получена по-рано, трябва да бъде приспадната от оперативна помощ.</w:t>
      </w:r>
    </w:p>
    <w:p w:rsidR="00490830" w:rsidRPr="00CB333D" w:rsidRDefault="00490830" w:rsidP="000773EE">
      <w:pPr>
        <w:pStyle w:val="NumPar1"/>
        <w:numPr>
          <w:ilvl w:val="0"/>
          <w:numId w:val="62"/>
        </w:numPr>
      </w:pPr>
      <w:r w:rsidRPr="00CB333D">
        <w:t xml:space="preserve">Бенефициерите се подлагат на стандартни отговорности за балансиране, когато съществуват конкурентни балансиращи пазари в рамките на деня. </w:t>
      </w:r>
    </w:p>
    <w:p w:rsidR="006645D9" w:rsidRPr="00CB333D" w:rsidRDefault="006645D9" w:rsidP="000C7DBF">
      <w:pPr>
        <w:keepNext/>
        <w:spacing w:before="360"/>
        <w:jc w:val="center"/>
        <w:rPr>
          <w:i/>
        </w:rPr>
      </w:pPr>
      <w:r w:rsidRPr="00CB333D">
        <w:rPr>
          <w:i/>
        </w:rPr>
        <w:t>Член 39в</w:t>
      </w:r>
      <w:r w:rsidRPr="00CB333D">
        <w:rPr>
          <w:i/>
        </w:rPr>
        <w:br/>
      </w:r>
      <w:r w:rsidRPr="00CB333D">
        <w:rPr>
          <w:b/>
          <w:i/>
        </w:rPr>
        <w:t>Оперативни помощи за насърчаване на производството на енергия от възобновяеми източници в маломащабни съоръжения</w:t>
      </w:r>
    </w:p>
    <w:p w:rsidR="006645D9" w:rsidRPr="00CB333D" w:rsidRDefault="006645D9" w:rsidP="000773EE">
      <w:pPr>
        <w:pStyle w:val="NumPar1"/>
        <w:numPr>
          <w:ilvl w:val="0"/>
          <w:numId w:val="63"/>
        </w:numPr>
      </w:pPr>
      <w:r w:rsidRPr="00CB333D">
        <w:t>Помощите за насърчаване на производството на енергия от възобновяеми източници в маломащабни съоръжения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w:t>
      </w:r>
    </w:p>
    <w:p w:rsidR="006645D9" w:rsidRPr="00CB333D" w:rsidRDefault="006645D9" w:rsidP="00AE57C5">
      <w:pPr>
        <w:pStyle w:val="NumPar1"/>
      </w:pPr>
      <w:r w:rsidRPr="00CB333D">
        <w:t>Помощ се предоставя само за инсталации с производствена мощност по-малка от [1] MW за производството на енергия от всички възобновяеми източници с изключение на електроенергията, добивана от вятър, за която се прилага праг от [5 MW за 3 производствени единици], и биогоривата, за които се прилага праг от [X]. За целите на изчисляването на горепосочените максимални мощности маломащабните инсталации с обща точка за свързване към електроенергийната мрежа се считат за една и съща инсталация.</w:t>
      </w:r>
    </w:p>
    <w:p w:rsidR="006645D9" w:rsidRPr="00CB333D" w:rsidRDefault="006645D9" w:rsidP="00E03D90">
      <w:pPr>
        <w:pStyle w:val="NumPar1"/>
      </w:pPr>
      <w:bookmarkStart w:id="21" w:name="_Ref371671387"/>
      <w:r w:rsidRPr="00CB333D">
        <w:t>Помощ не се отпуска за инсталации, произвеждащи биогорива от зърнени култури и други култури, богати на скорбяла, захар и маслодайни култури, както са определени в предложението на Комисията COM(2012)595</w:t>
      </w:r>
      <w:r w:rsidRPr="00CB333D">
        <w:rPr>
          <w:rStyle w:val="FootnoteReference"/>
        </w:rPr>
        <w:footnoteReference w:id="34"/>
      </w:r>
      <w:r w:rsidRPr="00CB333D">
        <w:t>.</w:t>
      </w:r>
    </w:p>
    <w:p w:rsidR="006645D9" w:rsidRPr="00CB333D" w:rsidRDefault="006645D9" w:rsidP="00E03D90">
      <w:pPr>
        <w:pStyle w:val="NumPar1"/>
      </w:pPr>
      <w:r w:rsidRPr="00CB333D">
        <w:t>Помощта за единица енергия не надвишава разликата между общите стандартни разходи за производството на енергия от въпросния възобновяем източник и пазарната цена на въпросния вид енергия. Стандартните разходи се актуализират редовно, най-малко на всеки [6 месеца] или всеки [1 GW] новоинсталирана мощност.</w:t>
      </w:r>
      <w:bookmarkEnd w:id="21"/>
      <w:r w:rsidRPr="00CB333D">
        <w:t xml:space="preserve"> .</w:t>
      </w:r>
    </w:p>
    <w:p w:rsidR="006645D9" w:rsidRPr="00CB333D" w:rsidRDefault="006645D9" w:rsidP="00E03D90">
      <w:pPr>
        <w:pStyle w:val="NumPar1"/>
      </w:pPr>
      <w:r w:rsidRPr="00CB333D">
        <w:t>Максималната норма на възвръщаемост, използвана за изчисляването на стандартните разходи, не трябва да надхвърля [съответния суапов процент плюс 100 базисни пункта,]. Съответният суапов процент е суаповият процент за паричната единица, в която е отпусната помощта, за падеж, който отразява периода на амортизация на съоръженията, за която е получена помощ.</w:t>
      </w:r>
    </w:p>
    <w:p w:rsidR="006645D9" w:rsidRPr="00CB333D" w:rsidRDefault="006645D9" w:rsidP="00E03D90">
      <w:pPr>
        <w:pStyle w:val="NumPar1"/>
      </w:pPr>
      <w:r w:rsidRPr="00CB333D">
        <w:t>Помощ се отпуска само до пълната амортизация на инсталацията в съответствие с общоприетите счетоводни принципи. Инвестиционната помощ, отпусната съгласно настоящата разпоредба на инсталация в допълнение към оперативната помощ, трябва да бъде приспадната.</w:t>
      </w:r>
    </w:p>
    <w:p w:rsidR="00F030B3" w:rsidRPr="00CB333D" w:rsidRDefault="003A0163" w:rsidP="004F7AD3">
      <w:pPr>
        <w:pStyle w:val="Titrearticle"/>
        <w:rPr>
          <w:b/>
        </w:rPr>
      </w:pPr>
      <w:r w:rsidRPr="00CB333D">
        <w:t>Член 40</w:t>
      </w:r>
      <w:r w:rsidRPr="00CB333D">
        <w:br/>
      </w:r>
      <w:r w:rsidRPr="00CB333D">
        <w:rPr>
          <w:b/>
        </w:rPr>
        <w:t>Помощи под формата на намаления на данъци за околната среда по Директива 2003/96/ЕО</w:t>
      </w:r>
    </w:p>
    <w:p w:rsidR="00F030B3" w:rsidRPr="00CB333D" w:rsidRDefault="00743826" w:rsidP="000773EE">
      <w:pPr>
        <w:pStyle w:val="NumPar1"/>
        <w:numPr>
          <w:ilvl w:val="0"/>
          <w:numId w:val="25"/>
        </w:numPr>
      </w:pPr>
      <w:r w:rsidRPr="00CB333D">
        <w:t>Схемите за помощ формата на намаления на данъци за околната среда, които отговарят на условията по Директива 2003/96/ЕО</w:t>
      </w:r>
      <w:r w:rsidRPr="00CB333D">
        <w:rPr>
          <w:rStyle w:val="FootnoteReference"/>
        </w:rPr>
        <w:footnoteReference w:id="35"/>
      </w:r>
      <w:r w:rsidRPr="00CB333D">
        <w:t>,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w:t>
      </w:r>
    </w:p>
    <w:p w:rsidR="00F030B3" w:rsidRPr="00CB333D" w:rsidRDefault="00F030B3" w:rsidP="000773EE">
      <w:pPr>
        <w:pStyle w:val="NumPar1"/>
        <w:numPr>
          <w:ilvl w:val="0"/>
          <w:numId w:val="9"/>
        </w:numPr>
      </w:pPr>
      <w:r w:rsidRPr="00CB333D">
        <w:t>Получателите на намаленията на данъците заплащат поне минималното ниво на облагане в Съюза, посочено в Директива 2003/96/ЕО.</w:t>
      </w:r>
    </w:p>
    <w:p w:rsidR="00F030B3" w:rsidRPr="00CB333D" w:rsidRDefault="00F030B3" w:rsidP="000773EE">
      <w:pPr>
        <w:pStyle w:val="NumPar1"/>
        <w:numPr>
          <w:ilvl w:val="0"/>
          <w:numId w:val="9"/>
        </w:numPr>
      </w:pPr>
      <w:r w:rsidRPr="00CB333D">
        <w:t>Този член не се прилага за помощ под формата на данъчно освобождаване, която е предмет на други разпоредби на настоящия раздел.</w:t>
      </w:r>
    </w:p>
    <w:p w:rsidR="00F030B3" w:rsidRPr="00CB333D" w:rsidRDefault="003A0163" w:rsidP="004F7AD3">
      <w:pPr>
        <w:pStyle w:val="Titrearticle"/>
        <w:rPr>
          <w:b/>
        </w:rPr>
      </w:pPr>
      <w:r w:rsidRPr="00CB333D">
        <w:t>Член 41</w:t>
      </w:r>
      <w:r w:rsidRPr="00CB333D">
        <w:br/>
      </w:r>
      <w:r w:rsidRPr="00CB333D">
        <w:rPr>
          <w:b/>
        </w:rPr>
        <w:t>Инвестиционни помощи за саниране на замърсени обекти</w:t>
      </w:r>
    </w:p>
    <w:p w:rsidR="00F030B3" w:rsidRPr="00CB333D" w:rsidRDefault="00F030B3" w:rsidP="000773EE">
      <w:pPr>
        <w:pStyle w:val="NumPar1"/>
        <w:numPr>
          <w:ilvl w:val="0"/>
          <w:numId w:val="24"/>
        </w:numPr>
      </w:pPr>
      <w:r w:rsidRPr="00CB333D">
        <w:t>Инвестиционната помощ за предприятия, отстраняващи щети върху околната среда чрез възстановяване на замърсени терени, е съвместима с вътрешния пазар по смисъла на член 107, параграф 3 от Договора и се освобождава от задължението за уведомяване по член 108, параграф 3 от Договора, ако са изпълнени условията, определени в настоящия член и в глава I.</w:t>
      </w:r>
    </w:p>
    <w:p w:rsidR="00F030B3" w:rsidRPr="00CB333D" w:rsidRDefault="00F030B3" w:rsidP="000773EE">
      <w:pPr>
        <w:pStyle w:val="NumPar1"/>
        <w:numPr>
          <w:ilvl w:val="0"/>
          <w:numId w:val="9"/>
        </w:numPr>
      </w:pPr>
      <w:r w:rsidRPr="00CB333D">
        <w:t>Инвестицията води до подобряване на опазването на околната среда. Щетите върху околната среда, които трябва да бъдат отстранени, включват щети върху качеството на почвата или на повърхностните и подпочвените води.</w:t>
      </w:r>
    </w:p>
    <w:p w:rsidR="00F030B3" w:rsidRPr="00CB333D" w:rsidRDefault="001677DC" w:rsidP="000773EE">
      <w:pPr>
        <w:pStyle w:val="NumPar1"/>
        <w:numPr>
          <w:ilvl w:val="0"/>
          <w:numId w:val="9"/>
        </w:numPr>
      </w:pPr>
      <w:r w:rsidRPr="00CB333D">
        <w:t>Когато е установена самоличността на лице, отговорно по законите, приложими във всяка държава членка, без да се засяга приемането на правила на ЕС в тази област, то трябва да финансира санирането в съответствие с принципа „замърсителят плаща“, като не се отпуска държавна помощ. Когато не е установена самоличността на лицето, отговорно по приложимото право, или то не може да бъде заставено да поеме разходите, лицето, отговорно за дейността по саниране или замърсяване, може да получи държавна помощ.</w:t>
      </w:r>
    </w:p>
    <w:p w:rsidR="00F030B3" w:rsidRPr="00CB333D" w:rsidRDefault="00F030B3" w:rsidP="000773EE">
      <w:pPr>
        <w:pStyle w:val="NumPar1"/>
        <w:numPr>
          <w:ilvl w:val="0"/>
          <w:numId w:val="9"/>
        </w:numPr>
      </w:pPr>
      <w:r w:rsidRPr="00CB333D">
        <w:t xml:space="preserve">Допустими са разходите за саниране минус увеличението на стойността на земята. Всички разходи, понесени от едно предприятие в процеса на саниране на негов обект, независимо дали могат да бъдат отразени като дълготрайни активи в счетоводния му баланс, се смятат за допустима инвестиция в случай на саниране на замърсени обекти. </w:t>
      </w:r>
    </w:p>
    <w:p w:rsidR="00F030B3" w:rsidRPr="00CB333D" w:rsidRDefault="00F030B3" w:rsidP="000773EE">
      <w:pPr>
        <w:pStyle w:val="NumPar1"/>
        <w:numPr>
          <w:ilvl w:val="0"/>
          <w:numId w:val="9"/>
        </w:numPr>
      </w:pPr>
      <w:r w:rsidRPr="00CB333D">
        <w:t>Оценките на увеличението на стойността на земята вследствие на саниране се извършват от независим експерт.</w:t>
      </w:r>
    </w:p>
    <w:p w:rsidR="00F030B3" w:rsidRPr="00CB333D" w:rsidRDefault="00F030B3" w:rsidP="000773EE">
      <w:pPr>
        <w:pStyle w:val="NumPar1"/>
        <w:numPr>
          <w:ilvl w:val="0"/>
          <w:numId w:val="9"/>
        </w:numPr>
      </w:pPr>
      <w:r w:rsidRPr="00CB333D">
        <w:t>интензитетът на помощ не надвишава [100] % от допустимите разходи.</w:t>
      </w:r>
    </w:p>
    <w:p w:rsidR="00F030B3" w:rsidRPr="00CB333D" w:rsidRDefault="003A0163" w:rsidP="00006535">
      <w:pPr>
        <w:pStyle w:val="Titrearticle"/>
        <w:pageBreakBefore/>
      </w:pPr>
      <w:r w:rsidRPr="00CB333D">
        <w:t>Article 42</w:t>
      </w:r>
      <w:r w:rsidRPr="00CB333D">
        <w:br/>
      </w:r>
      <w:r w:rsidRPr="00CB333D">
        <w:rPr>
          <w:b/>
        </w:rPr>
        <w:t>Инвестиционна помощ за енергийноефективно централно отопление и охлаждане</w:t>
      </w:r>
    </w:p>
    <w:p w:rsidR="00F030B3" w:rsidRPr="00CB333D" w:rsidRDefault="00F030B3" w:rsidP="000773EE">
      <w:pPr>
        <w:pStyle w:val="NumPar1"/>
        <w:numPr>
          <w:ilvl w:val="0"/>
          <w:numId w:val="23"/>
        </w:numPr>
      </w:pPr>
      <w:r w:rsidRPr="00CB333D">
        <w:t>Инвестиционните помощи за инсталиране на ефективни системи за централно отопление и охлаждане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w:t>
      </w:r>
    </w:p>
    <w:p w:rsidR="00F030B3" w:rsidRPr="00CB333D" w:rsidRDefault="00F030B3" w:rsidP="000773EE">
      <w:pPr>
        <w:pStyle w:val="NumPar1"/>
        <w:numPr>
          <w:ilvl w:val="0"/>
          <w:numId w:val="9"/>
        </w:numPr>
      </w:pPr>
      <w:r w:rsidRPr="00CB333D">
        <w:t>Системата трябва отговаря на определението за енергийноефективно централно отопление и охлаждане от член 2, параграфи 41 и 42 от Директива 2012/27/ЕС</w:t>
      </w:r>
      <w:r w:rsidRPr="00CB333D">
        <w:rPr>
          <w:rStyle w:val="FootnoteReference"/>
        </w:rPr>
        <w:footnoteReference w:id="36"/>
      </w:r>
      <w:r w:rsidRPr="00CB333D">
        <w:t xml:space="preserve">. </w:t>
      </w:r>
    </w:p>
    <w:p w:rsidR="00F030B3" w:rsidRPr="00CB333D" w:rsidRDefault="00174769" w:rsidP="000773EE">
      <w:pPr>
        <w:pStyle w:val="NumPar1"/>
        <w:numPr>
          <w:ilvl w:val="0"/>
          <w:numId w:val="9"/>
        </w:numPr>
      </w:pPr>
      <w:r w:rsidRPr="00CB333D">
        <w:t>Допустимите разходи за производствените инсталации са инвестиционните разходи за допълнително оборудване, необходимо за изграждането, разширяването и реконструкцията на един или няколко производствени модула, които функционират като ефективна централна отоплителна и охладителна система. Инвестицията е неразделна част от ефективна централна отоплителна и охладителна система.</w:t>
      </w:r>
    </w:p>
    <w:p w:rsidR="001677DC" w:rsidRPr="00CB333D" w:rsidRDefault="001677DC" w:rsidP="000773EE">
      <w:pPr>
        <w:pStyle w:val="NumPar1"/>
        <w:numPr>
          <w:ilvl w:val="0"/>
          <w:numId w:val="13"/>
        </w:numPr>
      </w:pPr>
      <w:r w:rsidRPr="00CB333D">
        <w:t>Допустимите разходи за разпределителната мрежа са общата сума на инвестиционните разходи за мрежата или за нейното обновяване.</w:t>
      </w:r>
    </w:p>
    <w:p w:rsidR="00F030B3" w:rsidRPr="00CB333D" w:rsidRDefault="00F030B3" w:rsidP="000773EE">
      <w:pPr>
        <w:pStyle w:val="NumPar1"/>
        <w:numPr>
          <w:ilvl w:val="0"/>
          <w:numId w:val="9"/>
        </w:numPr>
      </w:pPr>
      <w:r w:rsidRPr="00CB333D">
        <w:t xml:space="preserve">Интензитетът на помощ не надвишава [45] % от допустимите разходи. Интензитетът на помощ може да се увеличи с [20] процентни пункта за помощи, предоставени на малки предприятия, и с [10] процентни пункта за помощи, предоставени на средни предприятия. </w:t>
      </w:r>
    </w:p>
    <w:p w:rsidR="00B0575B" w:rsidRPr="00CB333D" w:rsidRDefault="004028B8" w:rsidP="00E03D90">
      <w:pPr>
        <w:pStyle w:val="NumPar1"/>
      </w:pPr>
      <w:r w:rsidRPr="00CB333D">
        <w:t xml:space="preserve">Интензитетът на помощ може да се увеличи с [15] процентни пункта за инвестиции, осъществени в подпомагани региони, които отговарят на условията по член 107, параграф 3, буква а) от Договора, и с [5] процентни пункта за инвестиции, осъществени в подпомагани региони, които отговарят на условията по член 107, параграф 3, буква в) от Договора. </w:t>
      </w:r>
    </w:p>
    <w:p w:rsidR="00F030B3" w:rsidRPr="00CB333D" w:rsidRDefault="00F030B3" w:rsidP="000773EE">
      <w:pPr>
        <w:pStyle w:val="NumPar1"/>
        <w:numPr>
          <w:ilvl w:val="0"/>
          <w:numId w:val="9"/>
        </w:numPr>
      </w:pPr>
      <w:r w:rsidRPr="00CB333D">
        <w:t>Не е възможно предоставянето на помощ за постигане на съответствие с правните стандарти на Съюза, приложими за централните отоплителни и охладителни системи.</w:t>
      </w:r>
    </w:p>
    <w:p w:rsidR="00F030B3" w:rsidRPr="00CB333D" w:rsidRDefault="003A0163" w:rsidP="00174769">
      <w:pPr>
        <w:pStyle w:val="Titrearticle"/>
      </w:pPr>
      <w:r w:rsidRPr="00CB333D">
        <w:t>Член 43</w:t>
      </w:r>
      <w:r w:rsidRPr="00CB333D">
        <w:br/>
      </w:r>
      <w:r w:rsidRPr="00CB333D">
        <w:rPr>
          <w:b/>
        </w:rPr>
        <w:t>Помощи за проучвания в областта на околната среда</w:t>
      </w:r>
    </w:p>
    <w:p w:rsidR="00F030B3" w:rsidRPr="00CB333D" w:rsidRDefault="00F030B3" w:rsidP="000773EE">
      <w:pPr>
        <w:pStyle w:val="NumPar1"/>
        <w:numPr>
          <w:ilvl w:val="0"/>
          <w:numId w:val="22"/>
        </w:numPr>
      </w:pPr>
      <w:r w:rsidRPr="00CB333D">
        <w:t xml:space="preserve">Помощта за проучвания, включително за обследване за енергийна ефективност, пряко свързани с инвестициите, посочени в настоящия раздел, е съвместима с вътрешния пазар по смисъла на член 107, параграф 3 от Договора и се освобождава от задължението за уведомяване по член 108, параграф 3 от Договора, ако са изпълнени условията, установени в настоящия член и в глава I. </w:t>
      </w:r>
    </w:p>
    <w:p w:rsidR="004028B8" w:rsidRPr="00CB333D" w:rsidRDefault="004028B8" w:rsidP="000773EE">
      <w:pPr>
        <w:pStyle w:val="NumPar1"/>
        <w:numPr>
          <w:ilvl w:val="0"/>
          <w:numId w:val="9"/>
        </w:numPr>
      </w:pPr>
      <w:r w:rsidRPr="00CB333D">
        <w:t>Не се допуска предоставяне на помощ на големи предприятия за обследване за енергийна ефективност, което се извършва в съответствие с член 8, параграф 4 от Директивата за енергийната ефективност (2012/27/EС).</w:t>
      </w:r>
    </w:p>
    <w:p w:rsidR="00F030B3" w:rsidRPr="00CB333D" w:rsidRDefault="00F030B3" w:rsidP="000773EE">
      <w:pPr>
        <w:pStyle w:val="NumPar1"/>
        <w:numPr>
          <w:ilvl w:val="0"/>
          <w:numId w:val="9"/>
        </w:numPr>
      </w:pPr>
      <w:r w:rsidRPr="00CB333D">
        <w:t>Допустимите разходи са разходите за проучванията, споменати в параграф 1.</w:t>
      </w:r>
    </w:p>
    <w:p w:rsidR="00F030B3" w:rsidRPr="00CB333D" w:rsidRDefault="00F030B3" w:rsidP="000773EE">
      <w:pPr>
        <w:pStyle w:val="NumPar1"/>
        <w:numPr>
          <w:ilvl w:val="0"/>
          <w:numId w:val="9"/>
        </w:numPr>
      </w:pPr>
      <w:r w:rsidRPr="00CB333D">
        <w:t>Интензитетът на помощ не надвишава 50 % от допустимите разходи.</w:t>
      </w:r>
    </w:p>
    <w:p w:rsidR="00D501C4" w:rsidRPr="00CB333D" w:rsidRDefault="00D501C4" w:rsidP="000773EE">
      <w:pPr>
        <w:pStyle w:val="NumPar1"/>
        <w:numPr>
          <w:ilvl w:val="0"/>
          <w:numId w:val="13"/>
        </w:numPr>
      </w:pPr>
      <w:r w:rsidRPr="00CB333D">
        <w:t>Интензитетът на помощ може да бъде увеличен с 20 процентни пункта за проучвания, предприети от името на малки предприятия, и с 10 процентни пункта за проучвания, предприети от името на средни предприятия.</w:t>
      </w:r>
    </w:p>
    <w:p w:rsidR="008B1222" w:rsidRPr="00CB333D" w:rsidRDefault="008B1222" w:rsidP="00F05D31">
      <w:pPr>
        <w:pStyle w:val="SectionTitle"/>
        <w:spacing w:before="360"/>
      </w:pPr>
      <w:bookmarkStart w:id="22" w:name="_Toc377391825"/>
      <w:r w:rsidRPr="00CB333D">
        <w:t>Раздел 8 — Помощи за отстраняване на щети, причинени от някои природни бедствия</w:t>
      </w:r>
      <w:bookmarkEnd w:id="22"/>
    </w:p>
    <w:p w:rsidR="008B1222" w:rsidRPr="00CB333D" w:rsidRDefault="003A0163" w:rsidP="008B1222">
      <w:pPr>
        <w:pStyle w:val="Titrearticle"/>
        <w:spacing w:before="480" w:after="240"/>
        <w:rPr>
          <w:b/>
        </w:rPr>
      </w:pPr>
      <w:r w:rsidRPr="00CB333D">
        <w:t>Член 44</w:t>
      </w:r>
      <w:r w:rsidRPr="00CB333D">
        <w:br/>
      </w:r>
      <w:r w:rsidRPr="00CB333D">
        <w:rPr>
          <w:b/>
        </w:rPr>
        <w:t>Помощи за отстраняване на щети, причинени от някои природни бедствия</w:t>
      </w:r>
    </w:p>
    <w:p w:rsidR="008B1222" w:rsidRPr="00CB333D" w:rsidRDefault="008B1222" w:rsidP="000773EE">
      <w:pPr>
        <w:pStyle w:val="NumPar1"/>
        <w:numPr>
          <w:ilvl w:val="0"/>
          <w:numId w:val="21"/>
        </w:numPr>
      </w:pPr>
      <w:r w:rsidRPr="00CB333D">
        <w:t>Схеми за помощ за отстраняване на щети, причинени от земетресения, лавини, свличания, наводнения, смерчове, урагани, вулканични изригвания и горски пожари, са съвместими с вътрешния пазар по смисъла на член 107, параграф 2, буква б) от Договора и се освобождават от изискването за уведомяване по член 108, параграф 3 от Договора, при условие че са изпълнени условията, определени в настоящия член и в глава I.</w:t>
      </w:r>
    </w:p>
    <w:p w:rsidR="008B1222" w:rsidRPr="00CB333D" w:rsidRDefault="008B1222" w:rsidP="00E03D90">
      <w:pPr>
        <w:pStyle w:val="NumPar1"/>
      </w:pPr>
      <w:r w:rsidRPr="00CB333D">
        <w:t>Помощ се предоставя, ако са изпълнени следните условия:</w:t>
      </w:r>
    </w:p>
    <w:p w:rsidR="008B1222" w:rsidRPr="00CB333D" w:rsidRDefault="00443DD2" w:rsidP="00443DD2">
      <w:pPr>
        <w:pStyle w:val="Point1"/>
      </w:pPr>
      <w:r>
        <w:t>а)</w:t>
      </w:r>
      <w:r w:rsidRPr="00443DD2">
        <w:tab/>
      </w:r>
      <w:r w:rsidR="008B1222" w:rsidRPr="00CB333D">
        <w:t xml:space="preserve">компетентните държавни органи на държава членка официално са признали характера на събитието като природно бедствие; </w:t>
      </w:r>
    </w:p>
    <w:p w:rsidR="008B1222" w:rsidRPr="00CB333D" w:rsidRDefault="00443DD2" w:rsidP="00443DD2">
      <w:pPr>
        <w:pStyle w:val="Point1"/>
      </w:pPr>
      <w:r>
        <w:t>б)</w:t>
      </w:r>
      <w:r w:rsidRPr="00443DD2">
        <w:tab/>
      </w:r>
      <w:r w:rsidR="008B1222" w:rsidRPr="00CB333D">
        <w:t>налице е пряка причинно-следствена връзка между щетите, причинени от природното бедствие, и щетите, понесени от предприятието.</w:t>
      </w:r>
    </w:p>
    <w:p w:rsidR="008B1222" w:rsidRPr="00CB333D" w:rsidRDefault="008B1222" w:rsidP="00E03D90">
      <w:pPr>
        <w:pStyle w:val="NumPar1"/>
      </w:pPr>
      <w:r w:rsidRPr="00CB333D">
        <w:t>Схеми за помощ, свързани с конкретно природно бедствие, трябва да бъдат въведени до три години след възникване на събитието. Помощ, която се основава на такива схеми, се предоставя до четири години след възникването на събитието.</w:t>
      </w:r>
    </w:p>
    <w:p w:rsidR="008B1222" w:rsidRPr="00CB333D" w:rsidRDefault="009D6FDC" w:rsidP="00E03D90">
      <w:pPr>
        <w:pStyle w:val="NumPar1"/>
      </w:pPr>
      <w:r w:rsidRPr="00CB333D">
        <w:t xml:space="preserve">Допустимите разходи са щетите, възникнали като пряко последствие от природното бедствие, оценени от независим експерт, признат от компетентния национален орган или застрахователна компания. Тези щети могат да са материални, причинени на активи (например сгради, оборудване, машини, запаси), и загуби на приходи поради пълното или частично спиране на дейност за максимален период от шест месеца, считано от възникването на бедствието. Изчисляването на материалните щети се основава на разходите за ремонт или икономическата стойност на засегнатия актив (например счетоводна стойност) преди бедствието. Загубата на приходи се изчислява за същия период въз основа на финансовите данни на предприятието (печалба преди лихви и данъци (EBIT), амортизация и разходи за труд, свързани единствено със субекта, засегнат от природното бедствие) спрямо средната стойност от предходните пет години, с изключение на най-добрия и на най-лошия финансов резултат. Щетата се изчислява на равнището на отделния получател. </w:t>
      </w:r>
    </w:p>
    <w:p w:rsidR="008B1222" w:rsidRPr="00CB333D" w:rsidRDefault="008B1222" w:rsidP="00E33370">
      <w:pPr>
        <w:pStyle w:val="Text1"/>
      </w:pPr>
      <w:r w:rsidRPr="00CB333D">
        <w:t xml:space="preserve">Помощта и всички други получени плащания за компенсация на щетите, включително плащанията по застрахователни полици, не превишават 100 % от допустимите разходи. </w:t>
      </w:r>
    </w:p>
    <w:p w:rsidR="008B1222" w:rsidRPr="00CB333D" w:rsidRDefault="008B1222" w:rsidP="00F05D31">
      <w:pPr>
        <w:pStyle w:val="SectionTitle"/>
        <w:spacing w:before="360"/>
      </w:pPr>
      <w:bookmarkStart w:id="23" w:name="_Toc377391826"/>
      <w:r w:rsidRPr="00CB333D">
        <w:t>Раздел 9 — Социални помощи за транспорт за живеещите в отдалечени региони</w:t>
      </w:r>
      <w:bookmarkEnd w:id="23"/>
    </w:p>
    <w:p w:rsidR="008B1222" w:rsidRPr="00CB333D" w:rsidRDefault="003A0163" w:rsidP="008B1222">
      <w:pPr>
        <w:pStyle w:val="Titrearticle"/>
        <w:spacing w:before="480" w:after="240"/>
        <w:rPr>
          <w:b/>
        </w:rPr>
      </w:pPr>
      <w:r w:rsidRPr="00CB333D">
        <w:t>Член 45</w:t>
      </w:r>
      <w:r w:rsidRPr="00CB333D">
        <w:br/>
      </w:r>
      <w:r w:rsidRPr="00CB333D">
        <w:rPr>
          <w:b/>
        </w:rPr>
        <w:t>Социални помощи за транспорт за живеещите в отдалечени региони</w:t>
      </w:r>
    </w:p>
    <w:p w:rsidR="008B1222" w:rsidRPr="00CB333D" w:rsidRDefault="008B1222" w:rsidP="000773EE">
      <w:pPr>
        <w:pStyle w:val="NumPar1"/>
        <w:numPr>
          <w:ilvl w:val="0"/>
          <w:numId w:val="20"/>
        </w:numPr>
      </w:pPr>
      <w:r w:rsidRPr="00CB333D">
        <w:t xml:space="preserve">Помощта за въздушен и морски пътнически транспорт се счита за съвместима с вътрешния пазар съгласно член 107, параграф 2, буква а) от Договора и се освобождава от задължението за уведомяване по член 108, параграф 3 от Договора, при условие че са изпълнени условията, посочени в настоящия член и в глава I. Задълженията за публикуване, определени в член 9, параграф 1, се прилагат изключително за схемите за помощ, а не за помощи, отпуснати индивидуално. </w:t>
      </w:r>
    </w:p>
    <w:p w:rsidR="008B1222" w:rsidRPr="00CB333D" w:rsidRDefault="008B1222" w:rsidP="000773EE">
      <w:pPr>
        <w:pStyle w:val="NumPar1"/>
        <w:numPr>
          <w:ilvl w:val="0"/>
          <w:numId w:val="9"/>
        </w:numPr>
      </w:pPr>
      <w:r w:rsidRPr="00CB333D">
        <w:t xml:space="preserve">Цялата помощ е в полза на крайните потребители, чието място на обичайно пребиваване е в отдалечени региони. </w:t>
      </w:r>
    </w:p>
    <w:p w:rsidR="008B1222" w:rsidRPr="00CB333D" w:rsidRDefault="008B1222" w:rsidP="000773EE">
      <w:pPr>
        <w:pStyle w:val="NumPar1"/>
        <w:numPr>
          <w:ilvl w:val="0"/>
          <w:numId w:val="9"/>
        </w:numPr>
      </w:pPr>
      <w:r w:rsidRPr="00CB333D">
        <w:t xml:space="preserve">Помощта се отпуска за пътнически транспорт по маршрут, свързващ летище или пристанище в отдалечен регион с друго летище или пристанище на територията на Европейското икономическо пространство. </w:t>
      </w:r>
    </w:p>
    <w:p w:rsidR="008B1222" w:rsidRPr="00CB333D" w:rsidRDefault="008B1222" w:rsidP="000773EE">
      <w:pPr>
        <w:pStyle w:val="NumPar1"/>
        <w:numPr>
          <w:ilvl w:val="0"/>
          <w:numId w:val="9"/>
        </w:numPr>
      </w:pPr>
      <w:r w:rsidRPr="00CB333D">
        <w:t>Помощта се предоставя без дискриминация по отношение на самоличността на превозвача или вида услуга и без ограничение по отношение на точния маршрут към или от отдалечен регион.</w:t>
      </w:r>
    </w:p>
    <w:p w:rsidR="008B1222" w:rsidRPr="00CB333D" w:rsidRDefault="008B1222" w:rsidP="000773EE">
      <w:pPr>
        <w:pStyle w:val="NumPar1"/>
        <w:numPr>
          <w:ilvl w:val="0"/>
          <w:numId w:val="9"/>
        </w:numPr>
      </w:pPr>
      <w:r w:rsidRPr="00CB333D">
        <w:t xml:space="preserve">Допустимите разходи са цената на билета за отиване и връщане от или до отдалечен регион, включително всички данъци и такси, фактурирани от превозвача на потребителя. Допустимите разходи се ограничават до разходите на възможно най-икономичното пътуване за избрания начин на транспорт. </w:t>
      </w:r>
    </w:p>
    <w:p w:rsidR="008B1222" w:rsidRPr="00CB333D" w:rsidRDefault="008B1222" w:rsidP="000773EE">
      <w:pPr>
        <w:pStyle w:val="NumPar1"/>
        <w:numPr>
          <w:ilvl w:val="0"/>
          <w:numId w:val="9"/>
        </w:numPr>
      </w:pPr>
      <w:r w:rsidRPr="00CB333D">
        <w:t>Интензитетът на помощ не надвишава 50 % от допустимите разходи.</w:t>
      </w:r>
    </w:p>
    <w:p w:rsidR="0096306E" w:rsidRPr="00CB333D" w:rsidRDefault="0096306E" w:rsidP="00F05D31">
      <w:pPr>
        <w:pStyle w:val="SectionTitle"/>
        <w:spacing w:before="360"/>
      </w:pPr>
      <w:bookmarkStart w:id="24" w:name="_Toc377391827"/>
      <w:r w:rsidRPr="00CB333D">
        <w:t>Раздел 10 — Помощи за широколентови инфраструктури</w:t>
      </w:r>
      <w:bookmarkEnd w:id="24"/>
      <w:r w:rsidRPr="00CB333D">
        <w:tab/>
      </w:r>
    </w:p>
    <w:p w:rsidR="0096306E" w:rsidRPr="00CB333D" w:rsidRDefault="003A0163" w:rsidP="0096306E">
      <w:pPr>
        <w:pStyle w:val="Titrearticle"/>
        <w:spacing w:before="480" w:after="240"/>
      </w:pPr>
      <w:r w:rsidRPr="00CB333D">
        <w:t>Член 46</w:t>
      </w:r>
      <w:r w:rsidRPr="00CB333D">
        <w:br/>
      </w:r>
      <w:r w:rsidRPr="00CB333D">
        <w:rPr>
          <w:b/>
        </w:rPr>
        <w:t>Помощи за за широколентови инфраструктури</w:t>
      </w:r>
    </w:p>
    <w:p w:rsidR="0096306E" w:rsidRPr="00CB333D" w:rsidRDefault="0096306E" w:rsidP="000773EE">
      <w:pPr>
        <w:pStyle w:val="NumPar1"/>
        <w:numPr>
          <w:ilvl w:val="0"/>
          <w:numId w:val="19"/>
        </w:numPr>
      </w:pPr>
      <w:r w:rsidRPr="00CB333D">
        <w:t>Инвестиционната помощ за развитието на широколентова мрежа е съвместима с вътрешния пазар по смисъла на член 107, параграф 3 от Договора и се освобождава от задължението за уведомяване по член 108, параграф 3 от Договора, ако са изпълнени условията, определени в настоящия член и в глава I.</w:t>
      </w:r>
    </w:p>
    <w:p w:rsidR="0096306E" w:rsidRPr="00CB333D" w:rsidRDefault="0096306E" w:rsidP="000773EE">
      <w:pPr>
        <w:pStyle w:val="NumPar1"/>
        <w:numPr>
          <w:ilvl w:val="0"/>
          <w:numId w:val="9"/>
        </w:numPr>
      </w:pPr>
      <w:r w:rsidRPr="00CB333D">
        <w:t xml:space="preserve">Допустимите разходи включват: </w:t>
      </w:r>
    </w:p>
    <w:p w:rsidR="0096306E" w:rsidRPr="00CB333D" w:rsidRDefault="00443DD2" w:rsidP="00443DD2">
      <w:pPr>
        <w:pStyle w:val="Point1"/>
      </w:pPr>
      <w:r>
        <w:t>а)</w:t>
      </w:r>
      <w:r w:rsidRPr="00443DD2">
        <w:tab/>
      </w:r>
      <w:r w:rsidR="0096306E" w:rsidRPr="00CB333D">
        <w:tab/>
        <w:t xml:space="preserve">инвестиционни разходи за внедряване на пасивна широколентова инфраструктура; </w:t>
      </w:r>
    </w:p>
    <w:p w:rsidR="0096306E" w:rsidRPr="00CB333D" w:rsidRDefault="00443DD2" w:rsidP="00443DD2">
      <w:pPr>
        <w:pStyle w:val="Point1"/>
      </w:pPr>
      <w:r>
        <w:t>б)</w:t>
      </w:r>
      <w:r w:rsidRPr="00443DD2">
        <w:tab/>
      </w:r>
      <w:r w:rsidR="0096306E" w:rsidRPr="00CB333D">
        <w:t xml:space="preserve">инвестиционни разходи за гражданско строителство, свързано с широколентов достъп; </w:t>
      </w:r>
    </w:p>
    <w:p w:rsidR="0096306E" w:rsidRPr="00CB333D" w:rsidRDefault="00443DD2" w:rsidP="00443DD2">
      <w:pPr>
        <w:pStyle w:val="Point1"/>
      </w:pPr>
      <w:r>
        <w:t>в)</w:t>
      </w:r>
      <w:r w:rsidRPr="00443DD2">
        <w:tab/>
      </w:r>
      <w:r w:rsidR="0096306E" w:rsidRPr="00CB333D">
        <w:t>инвестиционни разходи за разгръщане на основни широколентови мрежи; и</w:t>
      </w:r>
    </w:p>
    <w:p w:rsidR="0096306E" w:rsidRPr="00CB333D" w:rsidRDefault="00443DD2" w:rsidP="00443DD2">
      <w:pPr>
        <w:pStyle w:val="Point1"/>
      </w:pPr>
      <w:r>
        <w:t>г)</w:t>
      </w:r>
      <w:r w:rsidRPr="00443DD2">
        <w:tab/>
      </w:r>
      <w:r w:rsidR="0096306E" w:rsidRPr="00CB333D">
        <w:t>инвестиционни разходи за разгръщането на мрежи за достъп от следващо поколение.</w:t>
      </w:r>
    </w:p>
    <w:p w:rsidR="0096306E" w:rsidRPr="00CB333D" w:rsidRDefault="0096306E" w:rsidP="000773EE">
      <w:pPr>
        <w:pStyle w:val="NumPar1"/>
        <w:numPr>
          <w:ilvl w:val="0"/>
          <w:numId w:val="9"/>
        </w:numPr>
      </w:pPr>
      <w:r w:rsidRPr="00CB333D">
        <w:t>Инвестицията се намира в региони, в които няма инфраструктура от същата категория (основен широколентов достъп или мрежа за високоскоростен достъп от следващо поколение) и в които не е вероятно такава инфраструктура да бъде разработена на търговски начала в срок от три години след решението за отпускане на помощта, което трябва да бъде потвърдено също така чрез открита обществена консултация.</w:t>
      </w:r>
    </w:p>
    <w:p w:rsidR="0096306E" w:rsidRPr="00CB333D" w:rsidRDefault="0096306E" w:rsidP="000773EE">
      <w:pPr>
        <w:pStyle w:val="NumPar1"/>
        <w:numPr>
          <w:ilvl w:val="0"/>
          <w:numId w:val="9"/>
        </w:numPr>
      </w:pPr>
      <w:r w:rsidRPr="00CB333D">
        <w:t>Помощта се предоставя въз основа на отворена, прозрачна и недискриминационна конкурентна процедура за подбор при спазване на принципа за технологична неутралност.</w:t>
      </w:r>
    </w:p>
    <w:p w:rsidR="0096306E" w:rsidRPr="00CB333D" w:rsidRDefault="0096306E" w:rsidP="000773EE">
      <w:pPr>
        <w:pStyle w:val="NumPar1"/>
        <w:numPr>
          <w:ilvl w:val="0"/>
          <w:numId w:val="9"/>
        </w:numPr>
      </w:pPr>
      <w:r w:rsidRPr="00CB333D">
        <w:t>При мрежите за достъп от следващо поколение техният оператор предлага възможно най-голям активен и пасивен достъп на едро при справедливи и недискриминационни условия, включително необвързан физически достъп. Този достъп на едро се предоставя за период от поне 7 години и правото на достъп до проводи или стълбове не е ограничено във времето. В случай на помощ за изграждане на проводи тези проводи са достатъчно широки, за да съдържат няколко кабелни мрежи и различни мрежови топологии.</w:t>
      </w:r>
    </w:p>
    <w:p w:rsidR="0096306E" w:rsidRPr="00CB333D" w:rsidRDefault="0096306E" w:rsidP="000773EE">
      <w:pPr>
        <w:pStyle w:val="NumPar1"/>
        <w:numPr>
          <w:ilvl w:val="0"/>
          <w:numId w:val="9"/>
        </w:numPr>
      </w:pPr>
      <w:r w:rsidRPr="00CB333D">
        <w:t>Цената за достъп на едро се основава на принципите за ценообразуване, определени от националния регулаторен орган, и на целеви показатели, които преобладават в други сравними райони в страната или в Съюза с по-силна конкуренция, като се взема предвид помощта, получена от мрежовия оператор. С националния регулаторен орган се прави консултация относно условията за достъп (включително ценообразуването) и в случай на спор между желаещите да получат достъп и оператора на субсидираната инфраструктура.</w:t>
      </w:r>
    </w:p>
    <w:p w:rsidR="0096306E" w:rsidRPr="00CB333D" w:rsidRDefault="0096306E" w:rsidP="000773EE">
      <w:pPr>
        <w:pStyle w:val="NumPar1"/>
        <w:numPr>
          <w:ilvl w:val="0"/>
          <w:numId w:val="9"/>
        </w:numPr>
        <w:rPr>
          <w:i/>
        </w:rPr>
      </w:pPr>
      <w:r w:rsidRPr="00CB333D">
        <w:t>Държавите членки въвеждат механизъм за контрол и възстановяване на предоставените средства, ако размерът на помощта по проекта надхвърля 10 млн. EUR.</w:t>
      </w:r>
    </w:p>
    <w:p w:rsidR="00F7490A" w:rsidRPr="00CB333D" w:rsidRDefault="00F7490A" w:rsidP="00F05D31">
      <w:pPr>
        <w:pStyle w:val="SectionTitle"/>
        <w:spacing w:before="360"/>
      </w:pPr>
      <w:bookmarkStart w:id="25" w:name="_Toc377391828"/>
      <w:r w:rsidRPr="00CB333D">
        <w:t>Раздел 11 — Помощ за култура и опазване на културното наследство</w:t>
      </w:r>
      <w:bookmarkEnd w:id="25"/>
      <w:r w:rsidRPr="00CB333D">
        <w:tab/>
      </w:r>
    </w:p>
    <w:p w:rsidR="00F7490A" w:rsidRPr="00CB333D" w:rsidRDefault="00F05D31" w:rsidP="00F7490A">
      <w:pPr>
        <w:pStyle w:val="Titrearticle"/>
        <w:spacing w:before="480" w:after="240"/>
      </w:pPr>
      <w:r w:rsidRPr="00CB333D">
        <w:t>Член 47</w:t>
      </w:r>
      <w:r w:rsidRPr="00CB333D">
        <w:br/>
      </w:r>
      <w:r w:rsidRPr="00CB333D">
        <w:rPr>
          <w:b/>
        </w:rPr>
        <w:t xml:space="preserve">Помощ за култура и опазване на културното наследство </w:t>
      </w:r>
    </w:p>
    <w:p w:rsidR="00F7490A" w:rsidRPr="00CB333D" w:rsidRDefault="00F7490A" w:rsidP="000773EE">
      <w:pPr>
        <w:pStyle w:val="NumPar1"/>
        <w:numPr>
          <w:ilvl w:val="0"/>
          <w:numId w:val="18"/>
        </w:numPr>
      </w:pPr>
      <w:r w:rsidRPr="00CB333D">
        <w:t xml:space="preserve">Помощта за култура и опазване на културното наследство е съвместима с вътрешния пазар по смисъла на член 107, параграф 3 от Договора и се освобождава от задължението за уведомяване по член 108, параграф 3 от Договора, ако са изпълнени условията, определени в настоящия член и в глава I. </w:t>
      </w:r>
    </w:p>
    <w:p w:rsidR="00F7490A" w:rsidRPr="00CB333D" w:rsidRDefault="00F7490A" w:rsidP="000773EE">
      <w:pPr>
        <w:pStyle w:val="NumPar1"/>
        <w:numPr>
          <w:ilvl w:val="0"/>
          <w:numId w:val="9"/>
        </w:numPr>
      </w:pPr>
      <w:r w:rsidRPr="00CB333D">
        <w:t>Съгласно настоящия регламент не се допуска помощ за печатна или електронна преса и списания.</w:t>
      </w:r>
    </w:p>
    <w:p w:rsidR="00F7490A" w:rsidRPr="00CB333D" w:rsidRDefault="00F7490A" w:rsidP="000773EE">
      <w:pPr>
        <w:pStyle w:val="NumPar1"/>
        <w:numPr>
          <w:ilvl w:val="0"/>
          <w:numId w:val="9"/>
        </w:numPr>
      </w:pPr>
      <w:r w:rsidRPr="00CB333D">
        <w:t>Помощта се отпуска за следните културни цели и дейности:</w:t>
      </w:r>
    </w:p>
    <w:p w:rsidR="00F7490A" w:rsidRPr="00CB333D" w:rsidRDefault="00443DD2" w:rsidP="00443DD2">
      <w:pPr>
        <w:pStyle w:val="Point1"/>
      </w:pPr>
      <w:r>
        <w:t>а)</w:t>
      </w:r>
      <w:r w:rsidRPr="00443DD2">
        <w:tab/>
      </w:r>
      <w:r w:rsidR="00F7490A" w:rsidRPr="00CB333D">
        <w:t xml:space="preserve">музеи, архиви, библиотеки, културни центрове или средища, театри, оперни театри, концертни зали, други организации за представления на живо, филмотеки („cinematheques“) и други подобни културни инфраструктури, организации и институции; </w:t>
      </w:r>
    </w:p>
    <w:p w:rsidR="00F7490A" w:rsidRPr="00CB333D" w:rsidRDefault="00443DD2" w:rsidP="00443DD2">
      <w:pPr>
        <w:pStyle w:val="Point1"/>
      </w:pPr>
      <w:r>
        <w:t>б)</w:t>
      </w:r>
      <w:r w:rsidRPr="00443DD2">
        <w:tab/>
      </w:r>
      <w:r w:rsidR="00F7490A" w:rsidRPr="00CB333D">
        <w:t>материално наследство, в това число по-конкретно всички форми на движимо и недвижимо културно наследство и археологически обекти, паметници, исторически обекти и сгради; природно наследство от селата, крайбрежен и селски ландшафт само ако са пряко свързани с културното наследство или ако официално са признати като културно или природно наследство от компетентните публични органи на държава членка;</w:t>
      </w:r>
    </w:p>
    <w:p w:rsidR="00F7490A" w:rsidRPr="00CB333D" w:rsidRDefault="00443DD2" w:rsidP="00443DD2">
      <w:pPr>
        <w:pStyle w:val="Point1"/>
      </w:pPr>
      <w:r>
        <w:t>в)</w:t>
      </w:r>
      <w:r w:rsidRPr="00443DD2">
        <w:tab/>
      </w:r>
      <w:r w:rsidR="00F7490A" w:rsidRPr="00CB333D">
        <w:t>нематериално наследство във всичките му форми, в това число по-конкретно фолклорни обичаи и занаяти;</w:t>
      </w:r>
    </w:p>
    <w:p w:rsidR="00F7490A" w:rsidRPr="00CB333D" w:rsidRDefault="00443DD2" w:rsidP="00443DD2">
      <w:pPr>
        <w:pStyle w:val="Point1"/>
      </w:pPr>
      <w:r>
        <w:t>г)</w:t>
      </w:r>
      <w:r w:rsidRPr="00443DD2">
        <w:tab/>
      </w:r>
      <w:r w:rsidR="00F7490A" w:rsidRPr="00CB333D">
        <w:t>художествени или културни прояви и представления, фестивали, изложби и други подобни културни дейности;</w:t>
      </w:r>
    </w:p>
    <w:p w:rsidR="00F7490A" w:rsidRPr="00CB333D" w:rsidRDefault="00443DD2" w:rsidP="00443DD2">
      <w:pPr>
        <w:pStyle w:val="Point1"/>
      </w:pPr>
      <w:r>
        <w:t>д)</w:t>
      </w:r>
      <w:r w:rsidRPr="00443DD2">
        <w:tab/>
      </w:r>
      <w:r w:rsidR="00F7490A" w:rsidRPr="00CB333D">
        <w:t>издаване на музика и литература, включително преводи.</w:t>
      </w:r>
    </w:p>
    <w:p w:rsidR="00F7490A" w:rsidRPr="00CB333D" w:rsidRDefault="00F7490A" w:rsidP="000773EE">
      <w:pPr>
        <w:pStyle w:val="NumPar1"/>
        <w:numPr>
          <w:ilvl w:val="0"/>
          <w:numId w:val="9"/>
        </w:numPr>
      </w:pPr>
      <w:r w:rsidRPr="00CB333D">
        <w:t>Помощта може да бъде под формата на:</w:t>
      </w:r>
    </w:p>
    <w:p w:rsidR="00F7490A" w:rsidRPr="00CB333D" w:rsidRDefault="00443DD2" w:rsidP="00443DD2">
      <w:pPr>
        <w:pStyle w:val="Point1"/>
      </w:pPr>
      <w:r>
        <w:t>а)</w:t>
      </w:r>
      <w:r w:rsidRPr="00443DD2">
        <w:tab/>
      </w:r>
      <w:r w:rsidR="00F7490A" w:rsidRPr="00CB333D">
        <w:t xml:space="preserve">инвестиционна помощ, включително помощ за изграждане или модернизиране на културна инфраструктура; </w:t>
      </w:r>
    </w:p>
    <w:p w:rsidR="00F7490A" w:rsidRPr="00CB333D" w:rsidRDefault="00443DD2" w:rsidP="00443DD2">
      <w:pPr>
        <w:pStyle w:val="Point1"/>
      </w:pPr>
      <w:r>
        <w:t>б)</w:t>
      </w:r>
      <w:r w:rsidRPr="00443DD2">
        <w:tab/>
      </w:r>
      <w:r w:rsidR="00F7490A" w:rsidRPr="00CB333D">
        <w:t>оперативна помощ.</w:t>
      </w:r>
    </w:p>
    <w:p w:rsidR="00F7490A" w:rsidRPr="00CB333D" w:rsidRDefault="00F7490A" w:rsidP="000773EE">
      <w:pPr>
        <w:pStyle w:val="NumPar1"/>
        <w:numPr>
          <w:ilvl w:val="0"/>
          <w:numId w:val="9"/>
        </w:numPr>
      </w:pPr>
      <w:r w:rsidRPr="00CB333D">
        <w:t>За инвестиционната помощ допустимите разходи са разходите за инвестиции в материални и нематериални активи, включително:</w:t>
      </w:r>
    </w:p>
    <w:p w:rsidR="00F7490A" w:rsidRPr="00CB333D" w:rsidRDefault="00443DD2" w:rsidP="00443DD2">
      <w:pPr>
        <w:pStyle w:val="Point1"/>
      </w:pPr>
      <w:r>
        <w:t>а)</w:t>
      </w:r>
      <w:r w:rsidRPr="00443DD2">
        <w:tab/>
      </w:r>
      <w:r w:rsidR="00F7490A" w:rsidRPr="00CB333D">
        <w:t>разходи за изграждане, модернизиране, придобиване, съхраняване или подобряване на инфраструктура, поне 80 % от годишния капацитет на която се използват за културни цели;</w:t>
      </w:r>
    </w:p>
    <w:p w:rsidR="00F7490A" w:rsidRPr="00CB333D" w:rsidRDefault="00443DD2" w:rsidP="00443DD2">
      <w:pPr>
        <w:pStyle w:val="Point1"/>
      </w:pPr>
      <w:r>
        <w:t>б)</w:t>
      </w:r>
      <w:r w:rsidRPr="00443DD2">
        <w:tab/>
      </w:r>
      <w:r w:rsidR="00F7490A" w:rsidRPr="00CB333D">
        <w:t>разходи за придобиване, включително на лизинг, прехвърляне на притежание или физическо преместване на културно наследство;</w:t>
      </w:r>
    </w:p>
    <w:p w:rsidR="00F7490A" w:rsidRPr="00CB333D" w:rsidRDefault="00443DD2" w:rsidP="00443DD2">
      <w:pPr>
        <w:pStyle w:val="Point1"/>
      </w:pPr>
      <w:r>
        <w:t>в)</w:t>
      </w:r>
      <w:r w:rsidRPr="00443DD2">
        <w:tab/>
      </w:r>
      <w:r w:rsidR="00F7490A" w:rsidRPr="00CB333D">
        <w:t>разходи за опазване, съхраняване, реставрация и рехабилитация на материално и нематериално културно наследство, включително допълнителни разходи за съхранение при подходящи условия, специални инструменти и традиционни материали, и разходи за документация, научни изследвания, цифровизация и публикуване;</w:t>
      </w:r>
    </w:p>
    <w:p w:rsidR="00F7490A" w:rsidRPr="00CB333D" w:rsidRDefault="00443DD2" w:rsidP="00443DD2">
      <w:pPr>
        <w:pStyle w:val="Point1"/>
      </w:pPr>
      <w:r>
        <w:t>г)</w:t>
      </w:r>
      <w:r w:rsidRPr="00443DD2">
        <w:tab/>
      </w:r>
      <w:r w:rsidR="00F7490A" w:rsidRPr="00CB333D">
        <w:t>разходи за подобряване на достъпа на обществеността до културното наследство, включително разходи за цифровизация и други нови технологии, разходи за подобряване на достъпността за лица със специални нужди (по-специално рампи и подемници за инвалиди, указания на брайловата азбука и релефни експонати в музеите) и за насърчаване на културното многообразие по отношение на представянето, програмите и посетителите;</w:t>
      </w:r>
    </w:p>
    <w:p w:rsidR="00F7490A" w:rsidRPr="00CB333D" w:rsidRDefault="00443DD2" w:rsidP="00443DD2">
      <w:pPr>
        <w:pStyle w:val="Point1"/>
      </w:pPr>
      <w:r>
        <w:t>д)</w:t>
      </w:r>
      <w:r w:rsidRPr="00443DD2">
        <w:tab/>
      </w:r>
      <w:r w:rsidR="00F7490A" w:rsidRPr="00CB333D">
        <w:t>разходи за културни проекти и дейности, сътрудничество и програми за обмен и безвъзмездна помощ, включително разходи за процедури по подбор, разходи за реклама и разходи, направени пряко в резултат на проекта.</w:t>
      </w:r>
    </w:p>
    <w:p w:rsidR="00F7490A" w:rsidRPr="00CB333D" w:rsidRDefault="00F7490A" w:rsidP="000773EE">
      <w:pPr>
        <w:pStyle w:val="NumPar1"/>
        <w:numPr>
          <w:ilvl w:val="0"/>
          <w:numId w:val="9"/>
        </w:numPr>
      </w:pPr>
      <w:r w:rsidRPr="00CB333D">
        <w:t>За оперативна помощ допустимите разходи са следните:</w:t>
      </w:r>
    </w:p>
    <w:p w:rsidR="00F7490A" w:rsidRPr="00CB333D" w:rsidRDefault="00443DD2" w:rsidP="00443DD2">
      <w:pPr>
        <w:pStyle w:val="Point1"/>
      </w:pPr>
      <w:r>
        <w:t>а)</w:t>
      </w:r>
      <w:r w:rsidRPr="00443DD2">
        <w:tab/>
      </w:r>
      <w:r w:rsidR="00F7490A" w:rsidRPr="00CB333D">
        <w:t xml:space="preserve">разходите на културната институция или на обекта на културно наследство, свързани с непрекъснати или периодични дейности, включително изложби, представления и събития и други подобни културни дейности, които се извършват в обичайния ход на стопанската дейност; </w:t>
      </w:r>
    </w:p>
    <w:p w:rsidR="00F7490A" w:rsidRPr="00CB333D" w:rsidRDefault="00443DD2" w:rsidP="00443DD2">
      <w:pPr>
        <w:pStyle w:val="Point1"/>
      </w:pPr>
      <w:r>
        <w:t>б)</w:t>
      </w:r>
      <w:r w:rsidRPr="00443DD2">
        <w:tab/>
      </w:r>
      <w:r w:rsidR="00F7490A" w:rsidRPr="00CB333D">
        <w:t>оперативни разходи, пряко свързани с културния проект или дейност, като например пътни разходи, материали и консумативи, пряко свързани с културния проект или дейност, архитектурни структури за изложби и сценични декори, амортизация на средства, софтуер и оборудване, разходи за право на достъп до произведения, защитени с авторско право и защитено съдържание от други сходни права на интелектуалната собственост, разходи за реклама и разходи, възникнали като пряк резултат от проекта или дейността;</w:t>
      </w:r>
    </w:p>
    <w:p w:rsidR="00F7490A" w:rsidRPr="00CB333D" w:rsidRDefault="00443DD2" w:rsidP="00443DD2">
      <w:pPr>
        <w:pStyle w:val="Point1"/>
      </w:pPr>
      <w:r>
        <w:t>в)</w:t>
      </w:r>
      <w:r w:rsidRPr="00443DD2">
        <w:tab/>
      </w:r>
      <w:r w:rsidR="00F7490A" w:rsidRPr="00CB333D">
        <w:t>разходи за персонал, работещ за културната институция или обекта на културно наследство или за проекта;</w:t>
      </w:r>
    </w:p>
    <w:p w:rsidR="00F7490A" w:rsidRPr="00CB333D" w:rsidRDefault="00443DD2" w:rsidP="00443DD2">
      <w:pPr>
        <w:pStyle w:val="Point1"/>
      </w:pPr>
      <w:r>
        <w:t>г)</w:t>
      </w:r>
      <w:r w:rsidRPr="00443DD2">
        <w:tab/>
      </w:r>
      <w:r w:rsidR="00F7490A" w:rsidRPr="00CB333D">
        <w:t>разходи за консултантски услуги и помощни услуги, предоставяни от външни консултанти и доставчици на услуги, които са възникнали като пряк резултат от проекта.</w:t>
      </w:r>
    </w:p>
    <w:p w:rsidR="00F7490A" w:rsidRPr="00CB333D" w:rsidRDefault="00F7490A" w:rsidP="000773EE">
      <w:pPr>
        <w:pStyle w:val="NumPar1"/>
        <w:numPr>
          <w:ilvl w:val="0"/>
          <w:numId w:val="9"/>
        </w:numPr>
      </w:pPr>
      <w:r w:rsidRPr="00CB333D">
        <w:t>Максималният интензитет на помощ не надвишава 100 % от допустимите разходи. За издаване на музика и литература, включително преводи, максималният интензитет на помощ не надвишава 70 % от допустимите разходи. Нетните приходи се приспадат от допустимите разходи предварително или чрез механизъм за възстановяване на средства.</w:t>
      </w:r>
    </w:p>
    <w:p w:rsidR="00F7490A" w:rsidRPr="00CB333D" w:rsidRDefault="003A0163" w:rsidP="00262C52">
      <w:pPr>
        <w:pStyle w:val="Titrearticle"/>
        <w:rPr>
          <w:rFonts w:cs="Calibri"/>
          <w:b/>
        </w:rPr>
      </w:pPr>
      <w:r w:rsidRPr="00CB333D">
        <w:t>Член 48</w:t>
      </w:r>
      <w:r w:rsidRPr="00CB333D">
        <w:br/>
      </w:r>
      <w:r w:rsidRPr="00CB333D">
        <w:rPr>
          <w:b/>
        </w:rPr>
        <w:t>Схеми за помощ за аудио-визуални произведения</w:t>
      </w:r>
    </w:p>
    <w:p w:rsidR="00F7490A" w:rsidRPr="00CB333D" w:rsidRDefault="00F7490A" w:rsidP="000773EE">
      <w:pPr>
        <w:pStyle w:val="NumPar1"/>
        <w:numPr>
          <w:ilvl w:val="0"/>
          <w:numId w:val="17"/>
        </w:numPr>
        <w:rPr>
          <w:rFonts w:cs="Calibri"/>
        </w:rPr>
      </w:pPr>
      <w:r w:rsidRPr="00CB333D">
        <w:t xml:space="preserve">Схемите за помощ в подкрепа на писането на сценарии, разработката, производството, разпространението и рекламата на аудио-визуални произведения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 </w:t>
      </w:r>
    </w:p>
    <w:p w:rsidR="00F7490A" w:rsidRPr="00CB333D" w:rsidRDefault="00F7490A" w:rsidP="000773EE">
      <w:pPr>
        <w:pStyle w:val="NumPar1"/>
        <w:numPr>
          <w:ilvl w:val="0"/>
          <w:numId w:val="9"/>
        </w:numPr>
        <w:rPr>
          <w:rFonts w:cs="Calibri"/>
        </w:rPr>
      </w:pPr>
      <w:r w:rsidRPr="00CB333D">
        <w:t>Помощта трябва да е насочена към продукт от сферата на културата. За да се избегнат очевидни грешки, всяка държава членка определя ефективни процедури, например подбор на предложенията от едно или повече лица, упълномощени да подберат или проверят предложенията спрямо предварително определен списък с културни критерии.</w:t>
      </w:r>
    </w:p>
    <w:p w:rsidR="00F7490A" w:rsidRPr="00CB333D" w:rsidRDefault="00F7490A" w:rsidP="000773EE">
      <w:pPr>
        <w:pStyle w:val="NumPar1"/>
        <w:numPr>
          <w:ilvl w:val="0"/>
          <w:numId w:val="9"/>
        </w:numPr>
        <w:rPr>
          <w:rFonts w:cs="Calibri"/>
        </w:rPr>
      </w:pPr>
      <w:r w:rsidRPr="00CB333D">
        <w:t>Помощта може да бъде под формата на:</w:t>
      </w:r>
    </w:p>
    <w:p w:rsidR="00F7490A" w:rsidRPr="00CB333D" w:rsidRDefault="00443DD2" w:rsidP="00443DD2">
      <w:pPr>
        <w:pStyle w:val="Point1"/>
      </w:pPr>
      <w:r>
        <w:t>а)</w:t>
      </w:r>
      <w:r w:rsidRPr="00443DD2">
        <w:tab/>
      </w:r>
      <w:r w:rsidR="00F7490A" w:rsidRPr="00CB333D">
        <w:t>помощ за производството на аудио-визуални произведения;</w:t>
      </w:r>
    </w:p>
    <w:p w:rsidR="00F7490A" w:rsidRPr="00CB333D" w:rsidRDefault="00443DD2" w:rsidP="00443DD2">
      <w:pPr>
        <w:pStyle w:val="Point1"/>
      </w:pPr>
      <w:r>
        <w:t>б)</w:t>
      </w:r>
      <w:r w:rsidRPr="00443DD2">
        <w:tab/>
      </w:r>
      <w:r w:rsidR="00F7490A" w:rsidRPr="00CB333D">
        <w:t>помощ на предпроизводствен етап; и</w:t>
      </w:r>
    </w:p>
    <w:p w:rsidR="00F7490A" w:rsidRPr="00CB333D" w:rsidRDefault="00443DD2" w:rsidP="00443DD2">
      <w:pPr>
        <w:pStyle w:val="Point1"/>
      </w:pPr>
      <w:r>
        <w:t>в)</w:t>
      </w:r>
      <w:r w:rsidRPr="00443DD2">
        <w:tab/>
      </w:r>
      <w:r w:rsidR="00F7490A" w:rsidRPr="00CB333D">
        <w:t>помощ за разпространение.</w:t>
      </w:r>
    </w:p>
    <w:p w:rsidR="00F7490A" w:rsidRPr="00CB333D" w:rsidRDefault="00F7490A" w:rsidP="000773EE">
      <w:pPr>
        <w:pStyle w:val="NumPar1"/>
        <w:numPr>
          <w:ilvl w:val="0"/>
          <w:numId w:val="9"/>
        </w:numPr>
        <w:rPr>
          <w:rFonts w:cs="Calibri"/>
        </w:rPr>
      </w:pPr>
      <w:r w:rsidRPr="00CB333D">
        <w:t>Помощта не е запазена за конкретни производствени дейности или за отделни части от веригата на стойността на продукцията. Помощите за инфраструктурата на филмовите студия не отговарят на условията за помощ по смисъла на настоящия регламент.</w:t>
      </w:r>
    </w:p>
    <w:p w:rsidR="00F32517" w:rsidRPr="00CB333D" w:rsidRDefault="00F32517" w:rsidP="000773EE">
      <w:pPr>
        <w:pStyle w:val="NumPar1"/>
        <w:numPr>
          <w:ilvl w:val="0"/>
          <w:numId w:val="9"/>
        </w:numPr>
        <w:rPr>
          <w:rFonts w:cs="Calibri"/>
        </w:rPr>
      </w:pPr>
      <w:bookmarkStart w:id="26" w:name="_Ref352779293"/>
      <w:bookmarkStart w:id="27" w:name="_Ref352780071"/>
      <w:r w:rsidRPr="00CB333D">
        <w:t>Ако държава членка обвърже помощта със задължение за териториалност на разходите, в схемите за помощи за производство на аудио-визуални произведения може:</w:t>
      </w:r>
    </w:p>
    <w:p w:rsidR="00F32517" w:rsidRPr="00CB333D" w:rsidRDefault="00443DD2" w:rsidP="00443DD2">
      <w:pPr>
        <w:pStyle w:val="Point1"/>
      </w:pPr>
      <w:r>
        <w:t>а)</w:t>
      </w:r>
      <w:r w:rsidRPr="00443DD2">
        <w:tab/>
      </w:r>
      <w:r w:rsidR="00F32517" w:rsidRPr="00CB333D">
        <w:t>да се изисква до 160 % от помощта, предоставена за производството на дадено аудио-визуално произведение, да бъдат изразходвани на територията на държавата членка, която отпуска помощта;</w:t>
      </w:r>
    </w:p>
    <w:p w:rsidR="00F32517" w:rsidRPr="00CB333D" w:rsidRDefault="00443DD2" w:rsidP="00443DD2">
      <w:pPr>
        <w:pStyle w:val="Point1"/>
      </w:pPr>
      <w:r>
        <w:t>б)</w:t>
      </w:r>
      <w:r w:rsidRPr="00443DD2">
        <w:tab/>
      </w:r>
      <w:r w:rsidR="00F32517" w:rsidRPr="00CB333D">
        <w:t xml:space="preserve">помощта, отпусната за производството на дадено аудио-визуално произведение, да бъде изчислена като процент от разходите за дейности в държавата членка, отпускаща помощта, обикновено в случай на схеми за помощ под формата на данъчни стимули. </w:t>
      </w:r>
    </w:p>
    <w:p w:rsidR="00F32517" w:rsidRPr="00CB333D" w:rsidRDefault="00F32517" w:rsidP="00F05D31">
      <w:pPr>
        <w:pStyle w:val="Text1"/>
      </w:pPr>
      <w:r w:rsidRPr="00CB333D">
        <w:t>И в двата случая, ако държава членка обвърже допустимостта на проектите до помощ с минимално равнище на производствена дейност в съответната територия, това равнище не трябва да надвишава 50 % от общия бюджет на продукцията. Освен това максималните разходи, обвързани с условие за териториалност, в никакъв случай не надвишават 80 % от общия бюджет на продукцията.</w:t>
      </w:r>
    </w:p>
    <w:bookmarkEnd w:id="26"/>
    <w:p w:rsidR="00F7490A" w:rsidRPr="00CB333D" w:rsidRDefault="00F7490A" w:rsidP="000773EE">
      <w:pPr>
        <w:pStyle w:val="NumPar1"/>
        <w:numPr>
          <w:ilvl w:val="0"/>
          <w:numId w:val="9"/>
        </w:numPr>
        <w:rPr>
          <w:rFonts w:cs="Calibri"/>
        </w:rPr>
      </w:pPr>
      <w:r w:rsidRPr="00CB333D">
        <w:t>Помощта не е запазена изключително за гражданите на съответната държава и от бенефициерите не се изисква да имат статут на предприятия, учредени по националното търговско право.</w:t>
      </w:r>
    </w:p>
    <w:p w:rsidR="00F7490A" w:rsidRPr="00CB333D" w:rsidRDefault="00F7490A" w:rsidP="000773EE">
      <w:pPr>
        <w:pStyle w:val="NumPar1"/>
        <w:numPr>
          <w:ilvl w:val="0"/>
          <w:numId w:val="9"/>
        </w:numPr>
        <w:rPr>
          <w:rFonts w:cs="Calibri"/>
        </w:rPr>
      </w:pPr>
      <w:r w:rsidRPr="00CB333D">
        <w:t>Допустими са следните разходи:</w:t>
      </w:r>
    </w:p>
    <w:p w:rsidR="00F7490A" w:rsidRPr="00CB333D" w:rsidRDefault="00443DD2" w:rsidP="00443DD2">
      <w:pPr>
        <w:pStyle w:val="Point1"/>
      </w:pPr>
      <w:r>
        <w:t>а)</w:t>
      </w:r>
      <w:r w:rsidRPr="00443DD2">
        <w:tab/>
      </w:r>
      <w:r w:rsidR="008D7DD0" w:rsidRPr="00CB333D">
        <w:t>за производствени помощи: общите разходи за производство на аудио-визуални произведения, включително разходите за подобряване на достъпността за лица с увреждания;</w:t>
      </w:r>
    </w:p>
    <w:p w:rsidR="00F7490A" w:rsidRPr="00CB333D" w:rsidRDefault="00443DD2" w:rsidP="00443DD2">
      <w:pPr>
        <w:pStyle w:val="Point1"/>
      </w:pPr>
      <w:r>
        <w:t>б)</w:t>
      </w:r>
      <w:r w:rsidRPr="00443DD2">
        <w:tab/>
      </w:r>
      <w:r w:rsidR="008D7DD0" w:rsidRPr="00CB333D">
        <w:t>за помощи на предпроизводствен етап: разходите за писане на сценарии и развитието на аудио-визуални произведения;</w:t>
      </w:r>
    </w:p>
    <w:p w:rsidR="00F7490A" w:rsidRPr="00CB333D" w:rsidRDefault="00443DD2" w:rsidP="00443DD2">
      <w:pPr>
        <w:pStyle w:val="Point1"/>
      </w:pPr>
      <w:r>
        <w:t>в)</w:t>
      </w:r>
      <w:r w:rsidRPr="00443DD2">
        <w:tab/>
      </w:r>
      <w:r w:rsidR="008D7DD0" w:rsidRPr="00CB333D">
        <w:t xml:space="preserve">за помощи за разпространение: разходите за разпространение и популяризиране на аудио-визуални произведения. </w:t>
      </w:r>
    </w:p>
    <w:p w:rsidR="00F7490A" w:rsidRPr="00CB333D" w:rsidRDefault="00F7490A" w:rsidP="000773EE">
      <w:pPr>
        <w:pStyle w:val="NumPar1"/>
        <w:numPr>
          <w:ilvl w:val="0"/>
          <w:numId w:val="9"/>
        </w:numPr>
        <w:rPr>
          <w:rFonts w:cs="Calibri"/>
        </w:rPr>
      </w:pPr>
      <w:r w:rsidRPr="00CB333D">
        <w:t xml:space="preserve">интензитетът на помощ за производството на аудио-визуални произведения не превишава 50 % от допустимите разходи. </w:t>
      </w:r>
    </w:p>
    <w:p w:rsidR="00F7490A" w:rsidRPr="00CB333D" w:rsidRDefault="00F7490A" w:rsidP="000773EE">
      <w:pPr>
        <w:pStyle w:val="NumPar1"/>
        <w:numPr>
          <w:ilvl w:val="0"/>
          <w:numId w:val="9"/>
        </w:numPr>
        <w:rPr>
          <w:rFonts w:cs="Calibri"/>
        </w:rPr>
      </w:pPr>
      <w:r w:rsidRPr="00CB333D">
        <w:t>интензитетът на помощ може да бъде увеличен, както следва:</w:t>
      </w:r>
    </w:p>
    <w:p w:rsidR="00F7490A" w:rsidRPr="00CB333D" w:rsidRDefault="00443DD2" w:rsidP="00443DD2">
      <w:pPr>
        <w:pStyle w:val="Point1"/>
        <w:rPr>
          <w:rFonts w:cs="Calibri"/>
        </w:rPr>
      </w:pPr>
      <w:r>
        <w:t>а)</w:t>
      </w:r>
      <w:r w:rsidRPr="00443DD2">
        <w:tab/>
      </w:r>
      <w:r w:rsidR="008D7DD0" w:rsidRPr="00CB333D">
        <w:t xml:space="preserve">до 60 % от допустимите разходи за трансгранични продукции, които са финансирани от повече от една държава членка и в които участват продуценти от повече от една държава членка. </w:t>
      </w:r>
    </w:p>
    <w:p w:rsidR="00F7490A" w:rsidRPr="00CB333D" w:rsidRDefault="00443DD2" w:rsidP="00443DD2">
      <w:pPr>
        <w:pStyle w:val="Point1"/>
        <w:rPr>
          <w:rFonts w:cs="Calibri"/>
        </w:rPr>
      </w:pPr>
      <w:r>
        <w:t>б)</w:t>
      </w:r>
      <w:r w:rsidRPr="00443DD2">
        <w:tab/>
      </w:r>
      <w:r w:rsidR="00F7490A" w:rsidRPr="00CB333D">
        <w:t>до 100 % от допустимите разходи за трудни аудиовизуални произведения и съвместни продукции с участието на държави от списъка на КПР към ОИСР</w:t>
      </w:r>
      <w:bookmarkEnd w:id="27"/>
      <w:r w:rsidR="00F7490A" w:rsidRPr="00CB333D">
        <w:t>.</w:t>
      </w:r>
    </w:p>
    <w:p w:rsidR="00F7490A" w:rsidRPr="00CB333D" w:rsidRDefault="00F7490A" w:rsidP="000773EE">
      <w:pPr>
        <w:pStyle w:val="NumPar1"/>
        <w:numPr>
          <w:ilvl w:val="0"/>
          <w:numId w:val="9"/>
        </w:numPr>
        <w:rPr>
          <w:rFonts w:cs="Calibri"/>
        </w:rPr>
      </w:pPr>
      <w:r w:rsidRPr="00CB333D">
        <w:t>интензитетът на помощ за предпроизводствения етап не превишава 100 % от допустимите разходи. Ако произлезлият от помощта сценарий или проект се превърнат в аудио-визуално произведение, като например филм, предпроизводствените разходи се включват в общия бюджет и се вземат предвид при изчисляването на интензитета на помощ. Интензитетът на помощ за разпространение е същият като интензитета на помощта за производство.</w:t>
      </w:r>
    </w:p>
    <w:p w:rsidR="00BA06BE" w:rsidRPr="00CB333D" w:rsidRDefault="00BA06BE" w:rsidP="00F05D31">
      <w:pPr>
        <w:pStyle w:val="SectionTitle"/>
        <w:spacing w:before="360"/>
      </w:pPr>
      <w:bookmarkStart w:id="28" w:name="_Toc377391829"/>
      <w:r w:rsidRPr="00CB333D">
        <w:t>Раздел 12 — Помощи за спортни и мултифункционални инфраструктури за отдих</w:t>
      </w:r>
      <w:bookmarkEnd w:id="28"/>
    </w:p>
    <w:p w:rsidR="00F7490A" w:rsidRPr="00CB333D" w:rsidRDefault="003A0163" w:rsidP="00F7490A">
      <w:pPr>
        <w:pStyle w:val="Titrearticle"/>
        <w:spacing w:before="480" w:after="240"/>
        <w:rPr>
          <w:b/>
        </w:rPr>
      </w:pPr>
      <w:r w:rsidRPr="00CB333D">
        <w:t>Член  49</w:t>
      </w:r>
      <w:r w:rsidRPr="00CB333D">
        <w:br/>
      </w:r>
      <w:r w:rsidRPr="00CB333D">
        <w:rPr>
          <w:b/>
        </w:rPr>
        <w:t xml:space="preserve">Помощите за спортни и мултифункционални инфраструктури за отдих </w:t>
      </w:r>
    </w:p>
    <w:p w:rsidR="00F7490A" w:rsidRPr="00CB333D" w:rsidRDefault="00F7490A" w:rsidP="000773EE">
      <w:pPr>
        <w:pStyle w:val="NumPar1"/>
        <w:numPr>
          <w:ilvl w:val="0"/>
          <w:numId w:val="16"/>
        </w:numPr>
      </w:pPr>
      <w:r w:rsidRPr="00CB333D">
        <w:t xml:space="preserve">Помощи за спортни и мултифункционални инфраструктури за отдих са съвместими с вътрешния пазар по смисъла на член 107, параграф 3 от Договора и се освобождават от задължението за уведомяване по член 108, параграф 3 от Договора, ако са изпълнени условията, определени в настоящия член и в глава I. </w:t>
      </w:r>
    </w:p>
    <w:p w:rsidR="00F7490A" w:rsidRPr="00CB333D" w:rsidRDefault="00F7490A" w:rsidP="000773EE">
      <w:pPr>
        <w:pStyle w:val="NumPar1"/>
        <w:numPr>
          <w:ilvl w:val="0"/>
          <w:numId w:val="9"/>
        </w:numPr>
      </w:pPr>
      <w:r w:rsidRPr="00CB333D">
        <w:t>Спортната инфраструктура не се използва изключително от един единствен потребител професионален спортист и използването от други потребители, професионални или непрофесионални спортисти, заема ежегодно поне 20 % от времевия капацитет. Ако инфраструктурата се използва от няколко ползватели едновременно, трябва да се изчисляват съответните части от заетия времеви капацитет.</w:t>
      </w:r>
    </w:p>
    <w:p w:rsidR="00F7490A" w:rsidRPr="00CB333D" w:rsidRDefault="00F7490A" w:rsidP="000773EE">
      <w:pPr>
        <w:pStyle w:val="NumPar1"/>
        <w:numPr>
          <w:ilvl w:val="0"/>
          <w:numId w:val="9"/>
        </w:numPr>
      </w:pPr>
      <w:r w:rsidRPr="00CB333D">
        <w:t xml:space="preserve">Многофункционалните инфраструктури за отдих се състоят от съоръжения за отдих с многофункционален характер, които предлагат по-специално културни услуги и услуги, свързани с отдих, с изключение на увеселителните паркове и хотелските обекти. </w:t>
      </w:r>
    </w:p>
    <w:p w:rsidR="00F7490A" w:rsidRPr="00CB333D" w:rsidRDefault="00F7490A" w:rsidP="000773EE">
      <w:pPr>
        <w:pStyle w:val="NumPar1"/>
        <w:numPr>
          <w:ilvl w:val="0"/>
          <w:numId w:val="9"/>
        </w:numPr>
      </w:pPr>
      <w:r w:rsidRPr="00CB333D">
        <w:t xml:space="preserve">Достъпът до спортната инфраструктура или инфраструктурата за отдих е отворен за няколко ползватели и се предоставя на прозрачна и недискриминационна основа. Предприятия, които са финансирали поне 30 % от инвестиционните разходи за инфраструктурата, могат да получат преференциален достъп при по-изгодни условия, стига тези условия да са оповестени публично. </w:t>
      </w:r>
    </w:p>
    <w:p w:rsidR="00F7490A" w:rsidRPr="00CB333D" w:rsidRDefault="00F7490A" w:rsidP="000773EE">
      <w:pPr>
        <w:pStyle w:val="NumPar1"/>
        <w:numPr>
          <w:ilvl w:val="0"/>
          <w:numId w:val="9"/>
        </w:numPr>
      </w:pPr>
      <w:r w:rsidRPr="00CB333D">
        <w:t>Ако спортната инфраструктура се използва от професионални спортни клубове, тарифата за използването на инфраструктурата от тези клубове се оповестява публично.</w:t>
      </w:r>
    </w:p>
    <w:p w:rsidR="00F7490A" w:rsidRPr="00CB333D" w:rsidRDefault="00F7490A" w:rsidP="000773EE">
      <w:pPr>
        <w:pStyle w:val="NumPar1"/>
        <w:numPr>
          <w:ilvl w:val="0"/>
          <w:numId w:val="9"/>
        </w:numPr>
      </w:pPr>
      <w:r w:rsidRPr="00CB333D">
        <w:t xml:space="preserve">Всяка концесия или друго възлагане на трета страна на изграждането, модернизацията и/или експлоатацията на спортна или многофункционална инфраструктура за отдих трябва да се извършва по прозрачен и недискриминационен начин, като се зачитат приложимите правила за възлагане на обществени поръчки. </w:t>
      </w:r>
    </w:p>
    <w:p w:rsidR="00F7490A" w:rsidRPr="00CB333D" w:rsidRDefault="00F7490A" w:rsidP="000773EE">
      <w:pPr>
        <w:pStyle w:val="NumPar1"/>
        <w:numPr>
          <w:ilvl w:val="0"/>
          <w:numId w:val="9"/>
        </w:numPr>
      </w:pPr>
      <w:r w:rsidRPr="00CB333D">
        <w:t>Допустими са разходите за инвестиции в материални и/или нематериални активи и допълнителните оперативни разходи, възникнали от инвестицията в спортната или многофункционалната инфраструктура за отдих през референтния период, който е периодът на амортизация.</w:t>
      </w:r>
    </w:p>
    <w:p w:rsidR="006A3FAB" w:rsidRPr="00CB333D" w:rsidRDefault="00F7490A" w:rsidP="000773EE">
      <w:pPr>
        <w:pStyle w:val="NumPar1"/>
        <w:numPr>
          <w:ilvl w:val="0"/>
          <w:numId w:val="9"/>
        </w:numPr>
      </w:pPr>
      <w:r w:rsidRPr="00CB333D">
        <w:t>Интензитетът на помощ не надвишава [75] % от общите допустими разходи. Нетните приходи се приспадат от допустимите разходи предварително или чрез механизъм за възстановяване на средства.</w:t>
      </w:r>
    </w:p>
    <w:p w:rsidR="00042815" w:rsidRPr="00CB333D" w:rsidRDefault="00102D43" w:rsidP="00630212">
      <w:pPr>
        <w:pStyle w:val="ChapterTitle"/>
        <w:spacing w:before="600"/>
      </w:pPr>
      <w:bookmarkStart w:id="29" w:name="ChapterIV"/>
      <w:bookmarkStart w:id="30" w:name="_Toc377391830"/>
      <w:r>
        <w:t xml:space="preserve">ГЛАВА </w:t>
      </w:r>
      <w:r w:rsidR="00042815" w:rsidRPr="00CB333D">
        <w:t>IV</w:t>
      </w:r>
      <w:bookmarkEnd w:id="29"/>
      <w:r w:rsidR="00042815" w:rsidRPr="00CB333D">
        <w:br/>
        <w:t>Заключителни разпоредби</w:t>
      </w:r>
      <w:bookmarkEnd w:id="30"/>
    </w:p>
    <w:p w:rsidR="00042815" w:rsidRPr="00CB333D" w:rsidRDefault="003A0163" w:rsidP="00045001">
      <w:pPr>
        <w:pStyle w:val="Titrearticle"/>
        <w:rPr>
          <w:b/>
        </w:rPr>
      </w:pPr>
      <w:r w:rsidRPr="00CB333D">
        <w:t>Член 50</w:t>
      </w:r>
      <w:r w:rsidRPr="00CB333D">
        <w:br/>
      </w:r>
      <w:r w:rsidRPr="00CB333D">
        <w:rPr>
          <w:b/>
        </w:rPr>
        <w:t>Отмяна</w:t>
      </w:r>
    </w:p>
    <w:p w:rsidR="00042815" w:rsidRPr="00CB333D" w:rsidRDefault="00042815" w:rsidP="000773EE">
      <w:pPr>
        <w:pStyle w:val="NumPar1"/>
        <w:numPr>
          <w:ilvl w:val="0"/>
          <w:numId w:val="15"/>
        </w:numPr>
      </w:pPr>
      <w:r w:rsidRPr="00CB333D">
        <w:t>Регламент (ЕО) № 800/2008 се отменя.</w:t>
      </w:r>
    </w:p>
    <w:p w:rsidR="00042815" w:rsidRPr="00CB333D" w:rsidRDefault="00042815" w:rsidP="00E03D90">
      <w:pPr>
        <w:pStyle w:val="NumPar1"/>
      </w:pPr>
      <w:r w:rsidRPr="00CB333D">
        <w:t>Всички позовавания на отменения регламент се тълкуват като позовавания на настоящия регламент.</w:t>
      </w:r>
    </w:p>
    <w:p w:rsidR="00042815" w:rsidRPr="00CB333D" w:rsidRDefault="003A0163" w:rsidP="00045001">
      <w:pPr>
        <w:pStyle w:val="Titrearticle"/>
        <w:rPr>
          <w:b/>
        </w:rPr>
      </w:pPr>
      <w:r w:rsidRPr="00CB333D">
        <w:t>Член 51</w:t>
      </w:r>
      <w:r w:rsidRPr="00CB333D">
        <w:br/>
      </w:r>
      <w:r w:rsidRPr="00CB333D">
        <w:rPr>
          <w:b/>
        </w:rPr>
        <w:t>Преходни разпоредби</w:t>
      </w:r>
    </w:p>
    <w:p w:rsidR="00042815" w:rsidRPr="00CB333D" w:rsidRDefault="00042815" w:rsidP="000773EE">
      <w:pPr>
        <w:pStyle w:val="NumPar1"/>
        <w:numPr>
          <w:ilvl w:val="0"/>
          <w:numId w:val="14"/>
        </w:numPr>
      </w:pPr>
      <w:r w:rsidRPr="00CB333D">
        <w:t xml:space="preserve">Настоящият регламент се прилага за индивидуални помощи, предоставени преди влизането му в сила, ако помощите изпълняват всички условия, определени в настоящия регламент, с изключение на член [9]. </w:t>
      </w:r>
    </w:p>
    <w:p w:rsidR="00042815" w:rsidRPr="00CB333D" w:rsidRDefault="00042815" w:rsidP="000773EE">
      <w:pPr>
        <w:pStyle w:val="NumPar1"/>
        <w:numPr>
          <w:ilvl w:val="0"/>
          <w:numId w:val="9"/>
        </w:numPr>
      </w:pPr>
      <w:r w:rsidRPr="00CB333D">
        <w:t>Помощи, отпуснати преди 1.7.2014 г. по силата на действал по-рано регламент, приет съгласно член 1 от [Упълномощаващ регламент № 994/98], са съвместими с вътрешния пазар и се освобождават от задължението за уведомяване по член 108, параграф 3 от Договора. Схеми за рисков капитал в полза на МСП, въведени преди 1 юли 2014 г. и освободени от задължението за уведомяване по член 108, параграф 3 от Договора съгласно Регламент (ЕО) № 800/2008, остават освободени и съвместими с вътрешния пазар до края на споразумението за финансиране, при условие че публичните средства, поети като задължения към фонда за частни капиталови инвестиции, подпомаган въз основа на такова споразумение, са били отпуснати преди настоящият регламент да влезе в сила, и при условие че са изпълнени останалите условия за освобождаване.</w:t>
      </w:r>
    </w:p>
    <w:p w:rsidR="00042815" w:rsidRPr="00CB333D" w:rsidRDefault="00042815" w:rsidP="000773EE">
      <w:pPr>
        <w:pStyle w:val="NumPar1"/>
        <w:numPr>
          <w:ilvl w:val="0"/>
          <w:numId w:val="9"/>
        </w:numPr>
      </w:pPr>
      <w:r w:rsidRPr="00CB333D">
        <w:t>Действала по-рано помощ, която не е освободена от изискването за уведомяване, предвидено в член 108, параграф 3 от Договора, по силата на настоящия или други регламенти, приети съгласно член 1 от [Упълномощаващия регламент № 994/98], се оценява от Комисията в съответствие с приложимите рамки, насоки, съобщения и известия.</w:t>
      </w:r>
    </w:p>
    <w:p w:rsidR="00042815" w:rsidRPr="00CB333D" w:rsidRDefault="00042815" w:rsidP="000773EE">
      <w:pPr>
        <w:pStyle w:val="NumPar1"/>
        <w:numPr>
          <w:ilvl w:val="0"/>
          <w:numId w:val="9"/>
        </w:numPr>
      </w:pPr>
      <w:r w:rsidRPr="00CB333D">
        <w:t>В края на периода на действие на настоящия регламент всяка схема за помощ, освободена от задължението за уведомяване в съответствие с настоящия регламент, остава освободена в рамките на период на приспособяване от шест месеца, с изключение на схемите за регионална помощ. Освобождаването на схемите за регионална помощ изтича на датата на изтичане на срока на одобрените карти за регионална помощ. Освобождаването на помощите за рисково финансиране по член 20, параграф 2, буква a) изтича в края на срока, предвиден в споразумението за финансиране, при условие че публичните средства, поети като задължения към фонда за частни капиталови инвестиции, подпомаган въз основа на такова споразумение, са били отпуснати преди да изтече срокът на действие на настоящия регламент, и при условие че са изпълнени останалите условия за освобождаване.</w:t>
      </w:r>
    </w:p>
    <w:p w:rsidR="00042815" w:rsidRPr="00CB333D" w:rsidRDefault="00CA69DA" w:rsidP="000773EE">
      <w:pPr>
        <w:pStyle w:val="NumPar1"/>
        <w:numPr>
          <w:ilvl w:val="0"/>
          <w:numId w:val="9"/>
        </w:numPr>
      </w:pPr>
      <w:r w:rsidRPr="00CB333D">
        <w:t>Държавите членки предприемат необходимите мерки, за да се съобразят с разпоредбите на [член 9, буква в)], най-късно в рамките на две години след влизането в сила на настоящия регламент.</w:t>
      </w:r>
    </w:p>
    <w:p w:rsidR="00045001" w:rsidRPr="00CB333D" w:rsidRDefault="003A0163" w:rsidP="00045001">
      <w:pPr>
        <w:pStyle w:val="Titrearticle"/>
      </w:pPr>
      <w:r w:rsidRPr="00CB333D">
        <w:t>Член 52</w:t>
      </w:r>
    </w:p>
    <w:p w:rsidR="00042815" w:rsidRPr="00CB333D" w:rsidRDefault="00042815" w:rsidP="00042815">
      <w:pPr>
        <w:spacing w:before="0" w:after="200" w:line="276" w:lineRule="auto"/>
        <w:jc w:val="left"/>
      </w:pPr>
      <w:r w:rsidRPr="00CB333D">
        <w:t>Настоящият регламент влиза в сила на [</w:t>
      </w:r>
      <w:r w:rsidRPr="00CB333D">
        <w:rPr>
          <w:b/>
          <w:i/>
        </w:rPr>
        <w:t>двадесетия</w:t>
      </w:r>
      <w:r w:rsidRPr="00CB333D">
        <w:t xml:space="preserve">] ден след публикуването му в </w:t>
      </w:r>
      <w:r w:rsidRPr="00CB333D">
        <w:rPr>
          <w:i/>
        </w:rPr>
        <w:t>Официален вестник на Европейския съюз</w:t>
      </w:r>
      <w:r w:rsidRPr="00CB333D">
        <w:t>.</w:t>
      </w:r>
    </w:p>
    <w:p w:rsidR="00042815" w:rsidRPr="00CB333D" w:rsidRDefault="00042815" w:rsidP="00042815">
      <w:pPr>
        <w:spacing w:before="0" w:after="200" w:line="276" w:lineRule="auto"/>
        <w:jc w:val="left"/>
      </w:pPr>
      <w:r w:rsidRPr="00CB333D">
        <w:t>Той се прилага до 31 декември 2020 г. Настоящият регламент е задължителен в своята цялост и се прилага пряко във всички държави членки.</w:t>
      </w:r>
    </w:p>
    <w:p w:rsidR="001C6602" w:rsidRPr="00CB333D" w:rsidRDefault="0063194C" w:rsidP="0063194C">
      <w:pPr>
        <w:pStyle w:val="Fait"/>
      </w:pPr>
      <w:r w:rsidRPr="0063194C">
        <w:t>Съставено в Брюксел на 18.12.2013 година.</w:t>
      </w:r>
    </w:p>
    <w:p w:rsidR="001C6602" w:rsidRPr="00CB333D" w:rsidRDefault="001C6602" w:rsidP="001C6602">
      <w:pPr>
        <w:pStyle w:val="Institutionquisigne"/>
      </w:pPr>
      <w:r w:rsidRPr="00CB333D">
        <w:tab/>
        <w:t>За Комисията</w:t>
      </w:r>
    </w:p>
    <w:p w:rsidR="00496667" w:rsidRPr="0063194C" w:rsidRDefault="00496667" w:rsidP="00496667">
      <w:pPr>
        <w:pStyle w:val="Personnequisigne"/>
      </w:pPr>
      <w:r w:rsidRPr="00CB333D">
        <w:tab/>
        <w:t>Председател</w:t>
      </w:r>
    </w:p>
    <w:sectPr w:rsidR="00496667" w:rsidRPr="0063194C" w:rsidSect="0063194C">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89" w:rsidRDefault="00AC1089" w:rsidP="001C6602">
      <w:pPr>
        <w:spacing w:before="0" w:after="0"/>
      </w:pPr>
      <w:r>
        <w:separator/>
      </w:r>
    </w:p>
  </w:endnote>
  <w:endnote w:type="continuationSeparator" w:id="0">
    <w:p w:rsidR="00AC1089" w:rsidRDefault="00AC1089" w:rsidP="001C66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3D" w:rsidRPr="0063194C" w:rsidRDefault="0063194C" w:rsidP="0063194C">
    <w:pPr>
      <w:pStyle w:val="Footer"/>
      <w:rPr>
        <w:rFonts w:ascii="Arial" w:hAnsi="Arial" w:cs="Arial"/>
        <w:b/>
        <w:sz w:val="48"/>
      </w:rPr>
    </w:pPr>
    <w:r w:rsidRPr="0063194C">
      <w:rPr>
        <w:rFonts w:ascii="Arial" w:hAnsi="Arial" w:cs="Arial"/>
        <w:b/>
        <w:sz w:val="48"/>
      </w:rPr>
      <w:t>BG</w:t>
    </w:r>
    <w:r w:rsidRPr="0063194C">
      <w:rPr>
        <w:rFonts w:ascii="Arial" w:hAnsi="Arial" w:cs="Arial"/>
        <w:b/>
        <w:sz w:val="48"/>
      </w:rPr>
      <w:tab/>
    </w:r>
    <w:r w:rsidRPr="0063194C">
      <w:rPr>
        <w:rFonts w:ascii="Arial" w:hAnsi="Arial" w:cs="Arial"/>
        <w:b/>
        <w:sz w:val="48"/>
      </w:rPr>
      <w:tab/>
    </w:r>
    <w:fldSimple w:instr=" DOCVARIABLE &quot;LW_Confidence&quot; \* MERGEFORMAT ">
      <w:r>
        <w:t xml:space="preserve"> </w:t>
      </w:r>
    </w:fldSimple>
    <w:r w:rsidRPr="0063194C">
      <w:tab/>
    </w:r>
    <w:r w:rsidRPr="0063194C">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4C" w:rsidRPr="0063194C" w:rsidRDefault="0063194C" w:rsidP="0063194C">
    <w:pPr>
      <w:pStyle w:val="Footer"/>
      <w:rPr>
        <w:rFonts w:ascii="Arial" w:hAnsi="Arial" w:cs="Arial"/>
        <w:b/>
        <w:sz w:val="48"/>
      </w:rPr>
    </w:pPr>
    <w:r w:rsidRPr="0063194C">
      <w:rPr>
        <w:rFonts w:ascii="Arial" w:hAnsi="Arial" w:cs="Arial"/>
        <w:b/>
        <w:sz w:val="48"/>
      </w:rPr>
      <w:t>BG</w:t>
    </w:r>
    <w:r w:rsidRPr="0063194C">
      <w:rPr>
        <w:rFonts w:ascii="Arial" w:hAnsi="Arial" w:cs="Arial"/>
        <w:b/>
        <w:sz w:val="48"/>
      </w:rPr>
      <w:tab/>
    </w:r>
    <w:r>
      <w:fldChar w:fldCharType="begin"/>
    </w:r>
    <w:r>
      <w:instrText xml:space="preserve"> PAGE  \* MERGEFORMAT </w:instrText>
    </w:r>
    <w:r>
      <w:fldChar w:fldCharType="separate"/>
    </w:r>
    <w:r w:rsidR="002E75B8">
      <w:rPr>
        <w:noProof/>
      </w:rPr>
      <w:t>18</w:t>
    </w:r>
    <w:r>
      <w:fldChar w:fldCharType="end"/>
    </w:r>
    <w:r>
      <w:tab/>
    </w:r>
    <w:fldSimple w:instr=" DOCVARIABLE &quot;LW_Confidence&quot; \* MERGEFORMAT ">
      <w:r>
        <w:t xml:space="preserve"> </w:t>
      </w:r>
    </w:fldSimple>
    <w:r w:rsidRPr="0063194C">
      <w:tab/>
    </w:r>
    <w:r w:rsidRPr="0063194C">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4C" w:rsidRPr="0063194C" w:rsidRDefault="0063194C" w:rsidP="00631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89" w:rsidRDefault="00AC1089" w:rsidP="001C6602">
      <w:pPr>
        <w:spacing w:before="0" w:after="0"/>
      </w:pPr>
      <w:r>
        <w:separator/>
      </w:r>
    </w:p>
  </w:footnote>
  <w:footnote w:type="continuationSeparator" w:id="0">
    <w:p w:rsidR="00AC1089" w:rsidRDefault="00AC1089" w:rsidP="001C6602">
      <w:pPr>
        <w:spacing w:before="0" w:after="0"/>
      </w:pPr>
      <w:r>
        <w:continuationSeparator/>
      </w:r>
    </w:p>
  </w:footnote>
  <w:footnote w:id="1">
    <w:p w:rsidR="00BE3543" w:rsidRPr="00896F23" w:rsidRDefault="00BE3543" w:rsidP="0093402F">
      <w:pPr>
        <w:pStyle w:val="FootnoteText"/>
        <w:rPr>
          <w:lang w:val="pl-PL"/>
        </w:rPr>
      </w:pPr>
      <w:r>
        <w:rPr>
          <w:rStyle w:val="FootnoteReference"/>
        </w:rPr>
        <w:footnoteRef/>
      </w:r>
      <w:r>
        <w:tab/>
        <w:t xml:space="preserve">ОВ L 142, 14.5.1998 г., стр. 1. </w:t>
      </w:r>
    </w:p>
  </w:footnote>
  <w:footnote w:id="2">
    <w:p w:rsidR="00BE3543" w:rsidRPr="00896F23" w:rsidRDefault="00BE3543" w:rsidP="0093402F">
      <w:pPr>
        <w:pStyle w:val="FootnoteText"/>
        <w:rPr>
          <w:lang w:val="pl-PL"/>
        </w:rPr>
      </w:pPr>
      <w:r>
        <w:rPr>
          <w:rStyle w:val="FootnoteReference"/>
        </w:rPr>
        <w:footnoteRef/>
      </w:r>
      <w:r>
        <w:tab/>
      </w:r>
      <w:r>
        <w:t>ОВ L 214, 9.8.2008 г., стр. 3.</w:t>
      </w:r>
    </w:p>
  </w:footnote>
  <w:footnote w:id="3">
    <w:p w:rsidR="00BE3543" w:rsidRPr="00896F23" w:rsidRDefault="00BE3543" w:rsidP="00F95DB4">
      <w:pPr>
        <w:pStyle w:val="FootnoteText"/>
        <w:rPr>
          <w:lang w:val="pl-PL"/>
        </w:rPr>
      </w:pPr>
      <w:r>
        <w:rPr>
          <w:rStyle w:val="FootnoteReference"/>
        </w:rPr>
        <w:footnoteRef/>
      </w:r>
      <w:r w:rsidRPr="00CB333D">
        <w:rPr>
          <w:lang w:val="pl-PL"/>
        </w:rPr>
        <w:tab/>
      </w:r>
      <w:r>
        <w:t>ОВ</w:t>
      </w:r>
      <w:r w:rsidRPr="00CB333D">
        <w:rPr>
          <w:lang w:val="pl-PL"/>
        </w:rPr>
        <w:t xml:space="preserve"> L 204, 31.7.2013 </w:t>
      </w:r>
      <w:r>
        <w:t>г</w:t>
      </w:r>
      <w:r w:rsidRPr="00CB333D">
        <w:rPr>
          <w:lang w:val="pl-PL"/>
        </w:rPr>
        <w:t xml:space="preserve">., </w:t>
      </w:r>
      <w:r>
        <w:t>стр</w:t>
      </w:r>
      <w:r w:rsidRPr="00CB333D">
        <w:rPr>
          <w:lang w:val="pl-PL"/>
        </w:rPr>
        <w:t>. 11.</w:t>
      </w:r>
    </w:p>
  </w:footnote>
  <w:footnote w:id="4">
    <w:p w:rsidR="00BE3543" w:rsidRPr="00CB333D" w:rsidRDefault="00BE3543" w:rsidP="0093402F">
      <w:pPr>
        <w:pStyle w:val="FootnoteText"/>
        <w:rPr>
          <w:lang w:val="pl-PL"/>
        </w:rPr>
      </w:pPr>
      <w:r>
        <w:rPr>
          <w:rStyle w:val="FootnoteReference"/>
        </w:rPr>
        <w:footnoteRef/>
      </w:r>
      <w:r w:rsidRPr="00CB333D">
        <w:rPr>
          <w:lang w:val="pl-PL"/>
        </w:rPr>
        <w:tab/>
      </w:r>
      <w:r>
        <w:t>Съобщение</w:t>
      </w:r>
      <w:r w:rsidRPr="00CB333D">
        <w:rPr>
          <w:lang w:val="pl-PL"/>
        </w:rPr>
        <w:t xml:space="preserve"> </w:t>
      </w:r>
      <w:r>
        <w:t>на</w:t>
      </w:r>
      <w:r w:rsidRPr="00CB333D">
        <w:rPr>
          <w:lang w:val="pl-PL"/>
        </w:rPr>
        <w:t xml:space="preserve"> </w:t>
      </w:r>
      <w:r>
        <w:t>Комисията</w:t>
      </w:r>
      <w:r w:rsidRPr="00CB333D">
        <w:rPr>
          <w:lang w:val="pl-PL"/>
        </w:rPr>
        <w:t xml:space="preserve"> </w:t>
      </w:r>
      <w:r>
        <w:t>до</w:t>
      </w:r>
      <w:r w:rsidRPr="00CB333D">
        <w:rPr>
          <w:lang w:val="pl-PL"/>
        </w:rPr>
        <w:t xml:space="preserve"> </w:t>
      </w:r>
      <w:r>
        <w:t>Европейския</w:t>
      </w:r>
      <w:r w:rsidRPr="00CB333D">
        <w:rPr>
          <w:lang w:val="pl-PL"/>
        </w:rPr>
        <w:t xml:space="preserve"> </w:t>
      </w:r>
      <w:r>
        <w:t>парламент</w:t>
      </w:r>
      <w:r w:rsidRPr="00CB333D">
        <w:rPr>
          <w:lang w:val="pl-PL"/>
        </w:rPr>
        <w:t xml:space="preserve">, </w:t>
      </w:r>
      <w:r>
        <w:t>Съвета</w:t>
      </w:r>
      <w:r w:rsidRPr="00CB333D">
        <w:rPr>
          <w:lang w:val="pl-PL"/>
        </w:rPr>
        <w:t xml:space="preserve">, </w:t>
      </w:r>
      <w:r>
        <w:t>Европейския</w:t>
      </w:r>
      <w:r w:rsidRPr="00CB333D">
        <w:rPr>
          <w:lang w:val="pl-PL"/>
        </w:rPr>
        <w:t xml:space="preserve"> </w:t>
      </w:r>
      <w:r>
        <w:t>икономически</w:t>
      </w:r>
      <w:r w:rsidRPr="00CB333D">
        <w:rPr>
          <w:lang w:val="pl-PL"/>
        </w:rPr>
        <w:t xml:space="preserve"> </w:t>
      </w:r>
      <w:r>
        <w:t>и</w:t>
      </w:r>
      <w:r w:rsidRPr="00CB333D">
        <w:rPr>
          <w:lang w:val="pl-PL"/>
        </w:rPr>
        <w:t xml:space="preserve"> </w:t>
      </w:r>
      <w:r>
        <w:t>социален</w:t>
      </w:r>
      <w:r w:rsidRPr="00CB333D">
        <w:rPr>
          <w:lang w:val="pl-PL"/>
        </w:rPr>
        <w:t xml:space="preserve"> </w:t>
      </w:r>
      <w:r>
        <w:t>комитет</w:t>
      </w:r>
      <w:r w:rsidRPr="00CB333D">
        <w:rPr>
          <w:lang w:val="pl-PL"/>
        </w:rPr>
        <w:t xml:space="preserve"> </w:t>
      </w:r>
      <w:r>
        <w:t>и</w:t>
      </w:r>
      <w:r w:rsidRPr="00CB333D">
        <w:rPr>
          <w:lang w:val="pl-PL"/>
        </w:rPr>
        <w:t xml:space="preserve"> </w:t>
      </w:r>
      <w:r>
        <w:t>Комитета</w:t>
      </w:r>
      <w:r w:rsidRPr="00CB333D">
        <w:rPr>
          <w:lang w:val="pl-PL"/>
        </w:rPr>
        <w:t xml:space="preserve"> </w:t>
      </w:r>
      <w:r>
        <w:t>на</w:t>
      </w:r>
      <w:r w:rsidRPr="00CB333D">
        <w:rPr>
          <w:lang w:val="pl-PL"/>
        </w:rPr>
        <w:t xml:space="preserve"> </w:t>
      </w:r>
      <w:r>
        <w:t>регионите</w:t>
      </w:r>
      <w:r w:rsidRPr="00CB333D">
        <w:rPr>
          <w:lang w:val="pl-PL"/>
        </w:rPr>
        <w:t xml:space="preserve"> — </w:t>
      </w:r>
      <w:r>
        <w:t>Модернизиране</w:t>
      </w:r>
      <w:r w:rsidRPr="00CB333D">
        <w:rPr>
          <w:lang w:val="pl-PL"/>
        </w:rPr>
        <w:t xml:space="preserve"> </w:t>
      </w:r>
      <w:r>
        <w:t>на</w:t>
      </w:r>
      <w:r w:rsidRPr="00CB333D">
        <w:rPr>
          <w:lang w:val="pl-PL"/>
        </w:rPr>
        <w:t xml:space="preserve"> </w:t>
      </w:r>
      <w:r>
        <w:t>държавната</w:t>
      </w:r>
      <w:r w:rsidRPr="00CB333D">
        <w:rPr>
          <w:lang w:val="pl-PL"/>
        </w:rPr>
        <w:t xml:space="preserve"> </w:t>
      </w:r>
      <w:r>
        <w:t>помощ</w:t>
      </w:r>
      <w:r w:rsidRPr="00CB333D">
        <w:rPr>
          <w:lang w:val="pl-PL"/>
        </w:rPr>
        <w:t xml:space="preserve"> </w:t>
      </w:r>
      <w:r>
        <w:t>на</w:t>
      </w:r>
      <w:r w:rsidRPr="00CB333D">
        <w:rPr>
          <w:lang w:val="pl-PL"/>
        </w:rPr>
        <w:t xml:space="preserve"> </w:t>
      </w:r>
      <w:r>
        <w:t>ЕС</w:t>
      </w:r>
      <w:r w:rsidRPr="00CB333D">
        <w:rPr>
          <w:lang w:val="pl-PL"/>
        </w:rPr>
        <w:t xml:space="preserve"> (</w:t>
      </w:r>
      <w:r>
        <w:t>МДП</w:t>
      </w:r>
      <w:r w:rsidRPr="00CB333D">
        <w:rPr>
          <w:lang w:val="pl-PL"/>
        </w:rPr>
        <w:t>), 8.5.2012 </w:t>
      </w:r>
      <w:r>
        <w:t>г</w:t>
      </w:r>
      <w:r w:rsidRPr="00CB333D">
        <w:rPr>
          <w:lang w:val="pl-PL"/>
        </w:rPr>
        <w:t>., COM (2012) 209 final.</w:t>
      </w:r>
    </w:p>
  </w:footnote>
  <w:footnote w:id="5">
    <w:p w:rsidR="00BE3543" w:rsidRPr="00CB333D" w:rsidRDefault="00BE3543">
      <w:pPr>
        <w:pStyle w:val="FootnoteText"/>
        <w:rPr>
          <w:lang w:val="pl-PL"/>
        </w:rPr>
      </w:pPr>
      <w:r>
        <w:rPr>
          <w:rStyle w:val="FootnoteReference"/>
        </w:rPr>
        <w:footnoteRef/>
      </w:r>
      <w:r w:rsidRPr="00CB333D">
        <w:rPr>
          <w:lang w:val="pl-PL"/>
        </w:rPr>
        <w:tab/>
      </w:r>
      <w:r>
        <w:t>Дело</w:t>
      </w:r>
      <w:r w:rsidRPr="00CB333D">
        <w:rPr>
          <w:lang w:val="pl-PL"/>
        </w:rPr>
        <w:t xml:space="preserve"> C-456/00 </w:t>
      </w:r>
      <w:r>
        <w:rPr>
          <w:i/>
        </w:rPr>
        <w:t>Франция</w:t>
      </w:r>
      <w:r w:rsidRPr="00CB333D">
        <w:rPr>
          <w:i/>
          <w:lang w:val="pl-PL"/>
        </w:rPr>
        <w:t>/</w:t>
      </w:r>
      <w:r>
        <w:rPr>
          <w:i/>
        </w:rPr>
        <w:t>Комисията</w:t>
      </w:r>
      <w:r w:rsidRPr="00CB333D">
        <w:rPr>
          <w:lang w:val="pl-PL"/>
        </w:rPr>
        <w:t xml:space="preserve"> [2002] ECR I- 11949.</w:t>
      </w:r>
    </w:p>
  </w:footnote>
  <w:footnote w:id="6">
    <w:p w:rsidR="00BE3543" w:rsidRPr="00CB333D" w:rsidRDefault="00BE3543" w:rsidP="0093402F">
      <w:pPr>
        <w:pStyle w:val="FootnoteText"/>
        <w:rPr>
          <w:lang w:val="pl-PL"/>
        </w:rPr>
      </w:pPr>
      <w:r>
        <w:rPr>
          <w:rStyle w:val="FootnoteReference"/>
        </w:rPr>
        <w:footnoteRef/>
      </w:r>
      <w:r w:rsidRPr="00CB333D">
        <w:rPr>
          <w:lang w:val="pl-PL"/>
        </w:rPr>
        <w:tab/>
        <w:t>(</w:t>
      </w:r>
      <w:r>
        <w:t>ОВ</w:t>
      </w:r>
      <w:r w:rsidRPr="00CB333D">
        <w:rPr>
          <w:lang w:val="pl-PL"/>
        </w:rPr>
        <w:t xml:space="preserve"> L 336, 10.3.2010 </w:t>
      </w:r>
      <w:r>
        <w:t>г</w:t>
      </w:r>
      <w:r w:rsidRPr="00CB333D">
        <w:rPr>
          <w:lang w:val="pl-PL"/>
        </w:rPr>
        <w:t xml:space="preserve">., </w:t>
      </w:r>
      <w:r>
        <w:t>стр</w:t>
      </w:r>
      <w:r w:rsidRPr="00CB333D">
        <w:rPr>
          <w:lang w:val="pl-PL"/>
        </w:rPr>
        <w:t>. 24)</w:t>
      </w:r>
    </w:p>
  </w:footnote>
  <w:footnote w:id="7">
    <w:p w:rsidR="00BE3543" w:rsidRPr="00CB333D" w:rsidRDefault="00BE3543" w:rsidP="0093402F">
      <w:pPr>
        <w:pStyle w:val="FootnoteText"/>
        <w:rPr>
          <w:lang w:val="pl-PL"/>
        </w:rPr>
      </w:pPr>
      <w:r>
        <w:rPr>
          <w:rStyle w:val="FootnoteReference"/>
        </w:rPr>
        <w:footnoteRef/>
      </w:r>
      <w:r w:rsidRPr="00CB333D">
        <w:rPr>
          <w:lang w:val="pl-PL"/>
        </w:rPr>
        <w:tab/>
      </w:r>
      <w:r>
        <w:t>ОВ</w:t>
      </w:r>
      <w:r w:rsidRPr="00CB333D">
        <w:rPr>
          <w:lang w:val="pl-PL"/>
        </w:rPr>
        <w:t xml:space="preserve"> C 244, 1.10.2004 </w:t>
      </w:r>
      <w:r>
        <w:t>г</w:t>
      </w:r>
      <w:r w:rsidRPr="00CB333D">
        <w:rPr>
          <w:lang w:val="pl-PL"/>
        </w:rPr>
        <w:t xml:space="preserve">., </w:t>
      </w:r>
      <w:r>
        <w:t>стр</w:t>
      </w:r>
      <w:r w:rsidRPr="00CB333D">
        <w:rPr>
          <w:lang w:val="pl-PL"/>
        </w:rPr>
        <w:t xml:space="preserve">. 2, </w:t>
      </w:r>
      <w:r>
        <w:t>прилагането</w:t>
      </w:r>
      <w:r w:rsidRPr="00CB333D">
        <w:rPr>
          <w:lang w:val="pl-PL"/>
        </w:rPr>
        <w:t xml:space="preserve"> </w:t>
      </w:r>
      <w:r>
        <w:t>им</w:t>
      </w:r>
      <w:r w:rsidRPr="00CB333D">
        <w:rPr>
          <w:lang w:val="pl-PL"/>
        </w:rPr>
        <w:t xml:space="preserve"> </w:t>
      </w:r>
      <w:r>
        <w:t>е</w:t>
      </w:r>
      <w:r w:rsidRPr="00CB333D">
        <w:rPr>
          <w:lang w:val="pl-PL"/>
        </w:rPr>
        <w:t xml:space="preserve"> </w:t>
      </w:r>
      <w:r>
        <w:t>удължено</w:t>
      </w:r>
      <w:r w:rsidRPr="00CB333D">
        <w:rPr>
          <w:lang w:val="pl-PL"/>
        </w:rPr>
        <w:t xml:space="preserve"> </w:t>
      </w:r>
      <w:r>
        <w:t>със</w:t>
      </w:r>
      <w:r w:rsidRPr="00CB333D">
        <w:rPr>
          <w:lang w:val="pl-PL"/>
        </w:rPr>
        <w:t xml:space="preserve"> </w:t>
      </w:r>
      <w:r>
        <w:t>Съобщение</w:t>
      </w:r>
      <w:r w:rsidRPr="00CB333D">
        <w:rPr>
          <w:lang w:val="pl-PL"/>
        </w:rPr>
        <w:t xml:space="preserve"> </w:t>
      </w:r>
      <w:r>
        <w:t>на</w:t>
      </w:r>
      <w:r w:rsidRPr="00CB333D">
        <w:rPr>
          <w:lang w:val="pl-PL"/>
        </w:rPr>
        <w:t xml:space="preserve"> </w:t>
      </w:r>
      <w:r>
        <w:t>Комисията</w:t>
      </w:r>
      <w:r w:rsidRPr="00CB333D">
        <w:rPr>
          <w:lang w:val="pl-PL"/>
        </w:rPr>
        <w:t xml:space="preserve"> </w:t>
      </w:r>
      <w:r>
        <w:t>относно</w:t>
      </w:r>
      <w:r w:rsidRPr="00CB333D">
        <w:rPr>
          <w:lang w:val="pl-PL"/>
        </w:rPr>
        <w:t xml:space="preserve"> </w:t>
      </w:r>
      <w:r>
        <w:t>удължаване</w:t>
      </w:r>
      <w:r w:rsidRPr="00CB333D">
        <w:rPr>
          <w:lang w:val="pl-PL"/>
        </w:rPr>
        <w:t xml:space="preserve"> </w:t>
      </w:r>
      <w:r>
        <w:t>на</w:t>
      </w:r>
      <w:r w:rsidRPr="00CB333D">
        <w:rPr>
          <w:lang w:val="pl-PL"/>
        </w:rPr>
        <w:t xml:space="preserve"> </w:t>
      </w:r>
      <w:r>
        <w:t>прилагането</w:t>
      </w:r>
      <w:r w:rsidRPr="00CB333D">
        <w:rPr>
          <w:lang w:val="pl-PL"/>
        </w:rPr>
        <w:t xml:space="preserve"> </w:t>
      </w:r>
      <w:r>
        <w:t>на</w:t>
      </w:r>
      <w:r w:rsidRPr="00CB333D">
        <w:rPr>
          <w:lang w:val="pl-PL"/>
        </w:rPr>
        <w:t xml:space="preserve"> </w:t>
      </w:r>
      <w:r>
        <w:t>насоките</w:t>
      </w:r>
      <w:r w:rsidRPr="00CB333D">
        <w:rPr>
          <w:lang w:val="pl-PL"/>
        </w:rPr>
        <w:t xml:space="preserve"> </w:t>
      </w:r>
      <w:r>
        <w:t>на</w:t>
      </w:r>
      <w:r w:rsidRPr="00CB333D">
        <w:rPr>
          <w:lang w:val="pl-PL"/>
        </w:rPr>
        <w:t xml:space="preserve"> </w:t>
      </w:r>
      <w:r>
        <w:t>Общността</w:t>
      </w:r>
      <w:r w:rsidRPr="00CB333D">
        <w:rPr>
          <w:lang w:val="pl-PL"/>
        </w:rPr>
        <w:t xml:space="preserve"> </w:t>
      </w:r>
      <w:r>
        <w:t>за</w:t>
      </w:r>
      <w:r w:rsidRPr="00CB333D">
        <w:rPr>
          <w:lang w:val="pl-PL"/>
        </w:rPr>
        <w:t xml:space="preserve"> </w:t>
      </w:r>
      <w:r>
        <w:t>държавните</w:t>
      </w:r>
      <w:r w:rsidRPr="00CB333D">
        <w:rPr>
          <w:lang w:val="pl-PL"/>
        </w:rPr>
        <w:t xml:space="preserve"> </w:t>
      </w:r>
      <w:r>
        <w:t>помощи</w:t>
      </w:r>
      <w:r w:rsidRPr="00CB333D">
        <w:rPr>
          <w:lang w:val="pl-PL"/>
        </w:rPr>
        <w:t xml:space="preserve"> </w:t>
      </w:r>
      <w:r>
        <w:t>за</w:t>
      </w:r>
      <w:r w:rsidRPr="00CB333D">
        <w:rPr>
          <w:lang w:val="pl-PL"/>
        </w:rPr>
        <w:t xml:space="preserve"> </w:t>
      </w:r>
      <w:r>
        <w:t>оздравяване</w:t>
      </w:r>
      <w:r w:rsidRPr="00CB333D">
        <w:rPr>
          <w:lang w:val="pl-PL"/>
        </w:rPr>
        <w:t xml:space="preserve"> </w:t>
      </w:r>
      <w:r>
        <w:t>и</w:t>
      </w:r>
      <w:r w:rsidRPr="00CB333D">
        <w:rPr>
          <w:lang w:val="pl-PL"/>
        </w:rPr>
        <w:t xml:space="preserve"> </w:t>
      </w:r>
      <w:r>
        <w:t>преструктуриране</w:t>
      </w:r>
      <w:r w:rsidRPr="00CB333D">
        <w:rPr>
          <w:lang w:val="pl-PL"/>
        </w:rPr>
        <w:t xml:space="preserve"> </w:t>
      </w:r>
      <w:r>
        <w:t>на</w:t>
      </w:r>
      <w:r w:rsidRPr="00CB333D">
        <w:rPr>
          <w:lang w:val="pl-PL"/>
        </w:rPr>
        <w:t xml:space="preserve"> </w:t>
      </w:r>
      <w:r>
        <w:t>предприятия</w:t>
      </w:r>
      <w:r w:rsidRPr="00CB333D">
        <w:rPr>
          <w:lang w:val="pl-PL"/>
        </w:rPr>
        <w:t xml:space="preserve"> </w:t>
      </w:r>
      <w:r>
        <w:t>в</w:t>
      </w:r>
      <w:r w:rsidRPr="00CB333D">
        <w:rPr>
          <w:lang w:val="pl-PL"/>
        </w:rPr>
        <w:t xml:space="preserve"> </w:t>
      </w:r>
      <w:r>
        <w:t>затруднение</w:t>
      </w:r>
      <w:r w:rsidRPr="00CB333D">
        <w:rPr>
          <w:lang w:val="pl-PL"/>
        </w:rPr>
        <w:t xml:space="preserve"> </w:t>
      </w:r>
      <w:r>
        <w:t>от</w:t>
      </w:r>
      <w:r w:rsidRPr="00CB333D">
        <w:rPr>
          <w:lang w:val="pl-PL"/>
        </w:rPr>
        <w:t xml:space="preserve"> 1 </w:t>
      </w:r>
      <w:r>
        <w:t>октомври</w:t>
      </w:r>
      <w:r w:rsidRPr="00CB333D">
        <w:rPr>
          <w:lang w:val="pl-PL"/>
        </w:rPr>
        <w:t xml:space="preserve"> 2004 </w:t>
      </w:r>
      <w:r>
        <w:t>г</w:t>
      </w:r>
      <w:r w:rsidRPr="00CB333D">
        <w:rPr>
          <w:lang w:val="pl-PL"/>
        </w:rPr>
        <w:t xml:space="preserve">., </w:t>
      </w:r>
      <w:r>
        <w:t>ОВ</w:t>
      </w:r>
      <w:r w:rsidRPr="00CB333D">
        <w:rPr>
          <w:lang w:val="pl-PL"/>
        </w:rPr>
        <w:t xml:space="preserve"> C 296, 2.10.2012 </w:t>
      </w:r>
      <w:r>
        <w:t>г</w:t>
      </w:r>
      <w:r w:rsidRPr="00CB333D">
        <w:rPr>
          <w:lang w:val="pl-PL"/>
        </w:rPr>
        <w:t xml:space="preserve">., </w:t>
      </w:r>
      <w:r>
        <w:t>стр</w:t>
      </w:r>
      <w:r w:rsidRPr="00CB333D">
        <w:rPr>
          <w:lang w:val="pl-PL"/>
        </w:rPr>
        <w:t>. 3.</w:t>
      </w:r>
    </w:p>
  </w:footnote>
  <w:footnote w:id="8">
    <w:p w:rsidR="00BE3543" w:rsidRPr="00CB333D" w:rsidRDefault="00BE3543" w:rsidP="0093402F">
      <w:pPr>
        <w:pStyle w:val="FootnoteText"/>
        <w:rPr>
          <w:lang w:val="pl-PL"/>
        </w:rPr>
      </w:pPr>
      <w:r>
        <w:rPr>
          <w:rStyle w:val="FootnoteReference"/>
        </w:rPr>
        <w:footnoteRef/>
      </w:r>
      <w:r w:rsidRPr="00CB333D">
        <w:rPr>
          <w:lang w:val="pl-PL"/>
        </w:rPr>
        <w:tab/>
      </w:r>
      <w:r>
        <w:t>ОВ</w:t>
      </w:r>
      <w:r w:rsidRPr="00CB333D">
        <w:rPr>
          <w:lang w:val="pl-PL"/>
        </w:rPr>
        <w:t xml:space="preserve"> </w:t>
      </w:r>
      <w:r>
        <w:t>С</w:t>
      </w:r>
      <w:r w:rsidRPr="00CB333D">
        <w:rPr>
          <w:lang w:val="pl-PL"/>
        </w:rPr>
        <w:t xml:space="preserve"> 155, 19.1.2008 </w:t>
      </w:r>
      <w:r>
        <w:t>г</w:t>
      </w:r>
      <w:r w:rsidRPr="00CB333D">
        <w:rPr>
          <w:lang w:val="pl-PL"/>
        </w:rPr>
        <w:t xml:space="preserve">., </w:t>
      </w:r>
      <w:r>
        <w:t>стр</w:t>
      </w:r>
      <w:r w:rsidRPr="00CB333D">
        <w:rPr>
          <w:lang w:val="pl-PL"/>
        </w:rPr>
        <w:t>. 10.</w:t>
      </w:r>
    </w:p>
  </w:footnote>
  <w:footnote w:id="9">
    <w:p w:rsidR="00BE3543" w:rsidRPr="00CB333D" w:rsidRDefault="00BE3543" w:rsidP="0093402F">
      <w:pPr>
        <w:pStyle w:val="FootnoteText"/>
        <w:rPr>
          <w:lang w:val="pl-PL"/>
        </w:rPr>
      </w:pPr>
      <w:r>
        <w:rPr>
          <w:rStyle w:val="FootnoteReference"/>
        </w:rPr>
        <w:footnoteRef/>
      </w:r>
      <w:r w:rsidRPr="00CB333D">
        <w:rPr>
          <w:lang w:val="pl-PL"/>
        </w:rPr>
        <w:tab/>
      </w:r>
      <w:r>
        <w:t>Съобщение</w:t>
      </w:r>
      <w:r w:rsidRPr="00CB333D">
        <w:rPr>
          <w:lang w:val="pl-PL"/>
        </w:rPr>
        <w:t xml:space="preserve"> </w:t>
      </w:r>
      <w:r>
        <w:t>на</w:t>
      </w:r>
      <w:r w:rsidRPr="00CB333D">
        <w:rPr>
          <w:lang w:val="pl-PL"/>
        </w:rPr>
        <w:t xml:space="preserve"> </w:t>
      </w:r>
      <w:r>
        <w:t>Комисията</w:t>
      </w:r>
      <w:r w:rsidRPr="00CB333D">
        <w:rPr>
          <w:lang w:val="pl-PL"/>
        </w:rPr>
        <w:t xml:space="preserve"> </w:t>
      </w:r>
      <w:r>
        <w:t>относно</w:t>
      </w:r>
      <w:r w:rsidRPr="00CB333D">
        <w:rPr>
          <w:lang w:val="pl-PL"/>
        </w:rPr>
        <w:t xml:space="preserve"> </w:t>
      </w:r>
      <w:r>
        <w:t>преразглеждане</w:t>
      </w:r>
      <w:r w:rsidRPr="00CB333D">
        <w:rPr>
          <w:lang w:val="pl-PL"/>
        </w:rPr>
        <w:t xml:space="preserve"> </w:t>
      </w:r>
      <w:r>
        <w:t>на</w:t>
      </w:r>
      <w:r w:rsidRPr="00CB333D">
        <w:rPr>
          <w:lang w:val="pl-PL"/>
        </w:rPr>
        <w:t xml:space="preserve"> </w:t>
      </w:r>
      <w:r>
        <w:t>метода</w:t>
      </w:r>
      <w:r w:rsidRPr="00CB333D">
        <w:rPr>
          <w:lang w:val="pl-PL"/>
        </w:rPr>
        <w:t xml:space="preserve"> </w:t>
      </w:r>
      <w:r>
        <w:t>за</w:t>
      </w:r>
      <w:r w:rsidRPr="00CB333D">
        <w:rPr>
          <w:lang w:val="pl-PL"/>
        </w:rPr>
        <w:t xml:space="preserve"> </w:t>
      </w:r>
      <w:r>
        <w:t>определяне</w:t>
      </w:r>
      <w:r w:rsidRPr="00CB333D">
        <w:rPr>
          <w:lang w:val="pl-PL"/>
        </w:rPr>
        <w:t xml:space="preserve"> </w:t>
      </w:r>
      <w:r>
        <w:t>на</w:t>
      </w:r>
      <w:r w:rsidRPr="00CB333D">
        <w:rPr>
          <w:lang w:val="pl-PL"/>
        </w:rPr>
        <w:t xml:space="preserve"> </w:t>
      </w:r>
      <w:r>
        <w:t>референтните</w:t>
      </w:r>
      <w:r w:rsidRPr="00CB333D">
        <w:rPr>
          <w:lang w:val="pl-PL"/>
        </w:rPr>
        <w:t xml:space="preserve"> </w:t>
      </w:r>
      <w:r>
        <w:t>и</w:t>
      </w:r>
      <w:r w:rsidRPr="00CB333D">
        <w:rPr>
          <w:lang w:val="pl-PL"/>
        </w:rPr>
        <w:t xml:space="preserve"> </w:t>
      </w:r>
      <w:r>
        <w:t>сконтови</w:t>
      </w:r>
      <w:r w:rsidRPr="00CB333D">
        <w:rPr>
          <w:lang w:val="pl-PL"/>
        </w:rPr>
        <w:t xml:space="preserve"> </w:t>
      </w:r>
      <w:r>
        <w:t>лихвени</w:t>
      </w:r>
      <w:r w:rsidRPr="00CB333D">
        <w:rPr>
          <w:lang w:val="pl-PL"/>
        </w:rPr>
        <w:t xml:space="preserve"> </w:t>
      </w:r>
      <w:r>
        <w:t>проценти</w:t>
      </w:r>
      <w:r w:rsidRPr="00CB333D">
        <w:rPr>
          <w:lang w:val="pl-PL"/>
        </w:rPr>
        <w:t xml:space="preserve">, </w:t>
      </w:r>
      <w:r>
        <w:t>ОВ</w:t>
      </w:r>
      <w:r w:rsidRPr="00CB333D">
        <w:rPr>
          <w:lang w:val="pl-PL"/>
        </w:rPr>
        <w:t xml:space="preserve"> </w:t>
      </w:r>
      <w:r>
        <w:t>С</w:t>
      </w:r>
      <w:r w:rsidRPr="00CB333D">
        <w:rPr>
          <w:lang w:val="pl-PL"/>
        </w:rPr>
        <w:t xml:space="preserve"> 14, 19.1.2008 </w:t>
      </w:r>
      <w:r>
        <w:t>г</w:t>
      </w:r>
      <w:r w:rsidRPr="00CB333D">
        <w:rPr>
          <w:lang w:val="pl-PL"/>
        </w:rPr>
        <w:t xml:space="preserve">, </w:t>
      </w:r>
      <w:r>
        <w:t>стр</w:t>
      </w:r>
      <w:r w:rsidRPr="00CB333D">
        <w:rPr>
          <w:lang w:val="pl-PL"/>
        </w:rPr>
        <w:t>. 6.</w:t>
      </w:r>
    </w:p>
  </w:footnote>
  <w:footnote w:id="10">
    <w:p w:rsidR="00BE3543" w:rsidRPr="00896F23" w:rsidRDefault="00BE3543" w:rsidP="0093402F">
      <w:pPr>
        <w:pStyle w:val="FootnoteText"/>
        <w:rPr>
          <w:lang w:val="pl-PL"/>
        </w:rPr>
      </w:pPr>
      <w:r>
        <w:rPr>
          <w:rStyle w:val="FootnoteReference"/>
        </w:rPr>
        <w:footnoteRef/>
      </w:r>
      <w:r w:rsidRPr="00CB333D">
        <w:rPr>
          <w:lang w:val="pl-PL"/>
        </w:rPr>
        <w:tab/>
      </w:r>
      <w:r>
        <w:t>ОВ</w:t>
      </w:r>
      <w:r w:rsidRPr="00CB333D">
        <w:rPr>
          <w:lang w:val="pl-PL"/>
        </w:rPr>
        <w:t xml:space="preserve"> C 82, 27.3.1999 </w:t>
      </w:r>
      <w:r>
        <w:t>г</w:t>
      </w:r>
      <w:r w:rsidRPr="00CB333D">
        <w:rPr>
          <w:lang w:val="pl-PL"/>
        </w:rPr>
        <w:t xml:space="preserve">., </w:t>
      </w:r>
      <w:r>
        <w:t>стр</w:t>
      </w:r>
      <w:r w:rsidRPr="00CB333D">
        <w:rPr>
          <w:lang w:val="pl-PL"/>
        </w:rPr>
        <w:t>. 1.</w:t>
      </w:r>
    </w:p>
  </w:footnote>
  <w:footnote w:id="11">
    <w:p w:rsidR="00BE3543" w:rsidRPr="00BE3543" w:rsidRDefault="00BE3543" w:rsidP="0093402F">
      <w:pPr>
        <w:pStyle w:val="FootnoteText"/>
        <w:rPr>
          <w:lang w:val="pl-PL"/>
        </w:rPr>
      </w:pPr>
      <w:r>
        <w:rPr>
          <w:rStyle w:val="FootnoteReference"/>
        </w:rPr>
        <w:footnoteRef/>
      </w:r>
      <w:r w:rsidRPr="00CB333D">
        <w:rPr>
          <w:lang w:val="pl-PL"/>
        </w:rPr>
        <w:tab/>
      </w:r>
      <w:r>
        <w:t>ОВ</w:t>
      </w:r>
      <w:r w:rsidRPr="00CB333D">
        <w:rPr>
          <w:lang w:val="pl-PL"/>
        </w:rPr>
        <w:t xml:space="preserve"> L 124, 31.10.2003 </w:t>
      </w:r>
      <w:r>
        <w:t>г</w:t>
      </w:r>
      <w:r w:rsidRPr="00CB333D">
        <w:rPr>
          <w:lang w:val="pl-PL"/>
        </w:rPr>
        <w:t xml:space="preserve">., </w:t>
      </w:r>
      <w:r>
        <w:t>стр</w:t>
      </w:r>
      <w:r w:rsidRPr="00CB333D">
        <w:rPr>
          <w:lang w:val="pl-PL"/>
        </w:rPr>
        <w:t>. 36.</w:t>
      </w:r>
    </w:p>
  </w:footnote>
  <w:footnote w:id="12">
    <w:p w:rsidR="00BE3543" w:rsidRPr="00BE3543" w:rsidRDefault="00BE3543">
      <w:pPr>
        <w:pStyle w:val="FootnoteText"/>
        <w:rPr>
          <w:lang w:val="pl-PL"/>
        </w:rPr>
      </w:pPr>
      <w:r>
        <w:rPr>
          <w:rStyle w:val="FootnoteReference"/>
        </w:rPr>
        <w:footnoteRef/>
      </w:r>
      <w:r w:rsidRPr="00CB333D">
        <w:rPr>
          <w:lang w:val="pl-PL"/>
        </w:rPr>
        <w:tab/>
      </w:r>
      <w:r>
        <w:t>ОВ</w:t>
      </w:r>
      <w:r w:rsidRPr="00CB333D">
        <w:rPr>
          <w:lang w:val="pl-PL"/>
        </w:rPr>
        <w:t xml:space="preserve"> C 194, 18.8.2006 </w:t>
      </w:r>
      <w:r>
        <w:t>г</w:t>
      </w:r>
      <w:r w:rsidRPr="00CB333D">
        <w:rPr>
          <w:lang w:val="pl-PL"/>
        </w:rPr>
        <w:t xml:space="preserve">, </w:t>
      </w:r>
      <w:r>
        <w:t>стр</w:t>
      </w:r>
      <w:r w:rsidRPr="00CB333D">
        <w:rPr>
          <w:lang w:val="pl-PL"/>
        </w:rPr>
        <w:t>. 2–21.</w:t>
      </w:r>
    </w:p>
  </w:footnote>
  <w:footnote w:id="13">
    <w:p w:rsidR="00BE3543" w:rsidRPr="00CB333D" w:rsidRDefault="00BE3543">
      <w:pPr>
        <w:pStyle w:val="FootnoteText"/>
        <w:rPr>
          <w:lang w:val="pl-PL"/>
        </w:rPr>
      </w:pPr>
      <w:r>
        <w:rPr>
          <w:rStyle w:val="FootnoteReference"/>
        </w:rPr>
        <w:footnoteRef/>
      </w:r>
      <w:r w:rsidRPr="00CB333D">
        <w:rPr>
          <w:lang w:val="pl-PL"/>
        </w:rPr>
        <w:tab/>
      </w:r>
      <w:r>
        <w:t>ОВ</w:t>
      </w:r>
      <w:r w:rsidRPr="00CB333D">
        <w:rPr>
          <w:lang w:val="pl-PL"/>
        </w:rPr>
        <w:t xml:space="preserve"> C 323, 30.12.2006 </w:t>
      </w:r>
      <w:r>
        <w:t>г</w:t>
      </w:r>
      <w:r w:rsidRPr="00CB333D">
        <w:rPr>
          <w:lang w:val="pl-PL"/>
        </w:rPr>
        <w:t xml:space="preserve">,, </w:t>
      </w:r>
      <w:r>
        <w:t>стр</w:t>
      </w:r>
      <w:r w:rsidRPr="00CB333D">
        <w:rPr>
          <w:lang w:val="pl-PL"/>
        </w:rPr>
        <w:t>. 1–26.</w:t>
      </w:r>
    </w:p>
  </w:footnote>
  <w:footnote w:id="14">
    <w:p w:rsidR="00BE3543" w:rsidRPr="00CB333D" w:rsidRDefault="00BE3543" w:rsidP="00E61AC1">
      <w:pPr>
        <w:pStyle w:val="FootnoteText"/>
        <w:rPr>
          <w:lang w:val="pl-PL"/>
        </w:rPr>
      </w:pPr>
      <w:r>
        <w:rPr>
          <w:rStyle w:val="FootnoteReference"/>
        </w:rPr>
        <w:footnoteRef/>
      </w:r>
      <w:r w:rsidRPr="00CB333D">
        <w:rPr>
          <w:lang w:val="pl-PL"/>
        </w:rPr>
        <w:tab/>
      </w:r>
      <w:r>
        <w:t>Съобщение</w:t>
      </w:r>
      <w:r w:rsidRPr="00CB333D">
        <w:rPr>
          <w:lang w:val="pl-PL"/>
        </w:rPr>
        <w:t xml:space="preserve"> </w:t>
      </w:r>
      <w:r>
        <w:t>на</w:t>
      </w:r>
      <w:r w:rsidRPr="00CB333D">
        <w:rPr>
          <w:lang w:val="pl-PL"/>
        </w:rPr>
        <w:t xml:space="preserve"> </w:t>
      </w:r>
      <w:r>
        <w:t>Комисията</w:t>
      </w:r>
      <w:r w:rsidRPr="00CB333D">
        <w:rPr>
          <w:lang w:val="pl-PL"/>
        </w:rPr>
        <w:t xml:space="preserve"> </w:t>
      </w:r>
      <w:r>
        <w:t>до</w:t>
      </w:r>
      <w:r w:rsidRPr="00CB333D">
        <w:rPr>
          <w:lang w:val="pl-PL"/>
        </w:rPr>
        <w:t xml:space="preserve"> </w:t>
      </w:r>
      <w:r>
        <w:t>Европейския</w:t>
      </w:r>
      <w:r w:rsidRPr="00CB333D">
        <w:rPr>
          <w:lang w:val="pl-PL"/>
        </w:rPr>
        <w:t xml:space="preserve"> </w:t>
      </w:r>
      <w:r>
        <w:t>парламент</w:t>
      </w:r>
      <w:r w:rsidRPr="00CB333D">
        <w:rPr>
          <w:lang w:val="pl-PL"/>
        </w:rPr>
        <w:t xml:space="preserve">, </w:t>
      </w:r>
      <w:r>
        <w:t>Съвета</w:t>
      </w:r>
      <w:r w:rsidRPr="00CB333D">
        <w:rPr>
          <w:lang w:val="pl-PL"/>
        </w:rPr>
        <w:t xml:space="preserve">, </w:t>
      </w:r>
      <w:r>
        <w:t>Европейския</w:t>
      </w:r>
      <w:r w:rsidRPr="00CB333D">
        <w:rPr>
          <w:lang w:val="pl-PL"/>
        </w:rPr>
        <w:t xml:space="preserve"> </w:t>
      </w:r>
      <w:r>
        <w:t>икономически</w:t>
      </w:r>
      <w:r w:rsidRPr="00CB333D">
        <w:rPr>
          <w:lang w:val="pl-PL"/>
        </w:rPr>
        <w:t xml:space="preserve"> </w:t>
      </w:r>
      <w:r>
        <w:t>и</w:t>
      </w:r>
      <w:r w:rsidRPr="00CB333D">
        <w:rPr>
          <w:lang w:val="pl-PL"/>
        </w:rPr>
        <w:t xml:space="preserve"> </w:t>
      </w:r>
      <w:r>
        <w:t>социален</w:t>
      </w:r>
      <w:r w:rsidRPr="00CB333D">
        <w:rPr>
          <w:lang w:val="pl-PL"/>
        </w:rPr>
        <w:t xml:space="preserve"> </w:t>
      </w:r>
      <w:r>
        <w:t>комитет</w:t>
      </w:r>
      <w:r w:rsidRPr="00CB333D">
        <w:rPr>
          <w:lang w:val="pl-PL"/>
        </w:rPr>
        <w:t xml:space="preserve"> </w:t>
      </w:r>
      <w:r>
        <w:t>и</w:t>
      </w:r>
      <w:r w:rsidRPr="00CB333D">
        <w:rPr>
          <w:lang w:val="pl-PL"/>
        </w:rPr>
        <w:t xml:space="preserve"> </w:t>
      </w:r>
      <w:r>
        <w:t>Комитета</w:t>
      </w:r>
      <w:r w:rsidRPr="00CB333D">
        <w:rPr>
          <w:lang w:val="pl-PL"/>
        </w:rPr>
        <w:t xml:space="preserve"> </w:t>
      </w:r>
      <w:r>
        <w:t>на</w:t>
      </w:r>
      <w:r w:rsidRPr="00CB333D">
        <w:rPr>
          <w:lang w:val="pl-PL"/>
        </w:rPr>
        <w:t xml:space="preserve"> </w:t>
      </w:r>
      <w:r>
        <w:t>регионите</w:t>
      </w:r>
      <w:r w:rsidRPr="00CB333D">
        <w:rPr>
          <w:lang w:val="pl-PL"/>
        </w:rPr>
        <w:t xml:space="preserve"> — </w:t>
      </w:r>
      <w:r>
        <w:t>Европейска</w:t>
      </w:r>
      <w:r w:rsidRPr="00CB333D">
        <w:rPr>
          <w:lang w:val="pl-PL"/>
        </w:rPr>
        <w:t xml:space="preserve"> </w:t>
      </w:r>
      <w:r>
        <w:t>стратегия</w:t>
      </w:r>
      <w:r w:rsidRPr="00CB333D">
        <w:rPr>
          <w:lang w:val="pl-PL"/>
        </w:rPr>
        <w:t xml:space="preserve"> </w:t>
      </w:r>
      <w:r>
        <w:t>за</w:t>
      </w:r>
      <w:r w:rsidRPr="00CB333D">
        <w:rPr>
          <w:lang w:val="pl-PL"/>
        </w:rPr>
        <w:t xml:space="preserve"> </w:t>
      </w:r>
      <w:r>
        <w:t>хората</w:t>
      </w:r>
      <w:r w:rsidRPr="00CB333D">
        <w:rPr>
          <w:lang w:val="pl-PL"/>
        </w:rPr>
        <w:t xml:space="preserve"> </w:t>
      </w:r>
      <w:r>
        <w:t>с</w:t>
      </w:r>
      <w:r w:rsidRPr="00CB333D">
        <w:rPr>
          <w:lang w:val="pl-PL"/>
        </w:rPr>
        <w:t xml:space="preserve"> </w:t>
      </w:r>
      <w:r>
        <w:t>увреждания</w:t>
      </w:r>
      <w:r w:rsidRPr="00CB333D">
        <w:rPr>
          <w:lang w:val="pl-PL"/>
        </w:rPr>
        <w:t xml:space="preserve"> 2010—2020 </w:t>
      </w:r>
      <w:r>
        <w:t>г</w:t>
      </w:r>
      <w:r w:rsidRPr="00CB333D">
        <w:rPr>
          <w:lang w:val="pl-PL"/>
        </w:rPr>
        <w:t xml:space="preserve">. </w:t>
      </w:r>
      <w:r>
        <w:t>Подновен</w:t>
      </w:r>
      <w:r w:rsidRPr="00CB333D">
        <w:rPr>
          <w:lang w:val="pl-PL"/>
        </w:rPr>
        <w:t xml:space="preserve"> </w:t>
      </w:r>
      <w:r>
        <w:t>ангажимент</w:t>
      </w:r>
      <w:r w:rsidRPr="00CB333D">
        <w:rPr>
          <w:lang w:val="pl-PL"/>
        </w:rPr>
        <w:t xml:space="preserve"> </w:t>
      </w:r>
      <w:r>
        <w:t>за</w:t>
      </w:r>
      <w:r w:rsidRPr="00CB333D">
        <w:rPr>
          <w:lang w:val="pl-PL"/>
        </w:rPr>
        <w:t xml:space="preserve"> </w:t>
      </w:r>
      <w:r>
        <w:t>Европа</w:t>
      </w:r>
      <w:r w:rsidRPr="00CB333D">
        <w:rPr>
          <w:lang w:val="pl-PL"/>
        </w:rPr>
        <w:t xml:space="preserve"> </w:t>
      </w:r>
      <w:r>
        <w:t>без</w:t>
      </w:r>
      <w:r w:rsidRPr="00CB333D">
        <w:rPr>
          <w:lang w:val="pl-PL"/>
        </w:rPr>
        <w:t xml:space="preserve"> </w:t>
      </w:r>
      <w:r>
        <w:t>бариери</w:t>
      </w:r>
      <w:r w:rsidRPr="00CB333D">
        <w:rPr>
          <w:lang w:val="pl-PL"/>
        </w:rPr>
        <w:t xml:space="preserve"> /* COM/2010/0636 </w:t>
      </w:r>
      <w:r>
        <w:t>окончателен</w:t>
      </w:r>
      <w:r w:rsidRPr="00CB333D">
        <w:rPr>
          <w:lang w:val="pl-PL"/>
        </w:rPr>
        <w:t>.</w:t>
      </w:r>
    </w:p>
  </w:footnote>
  <w:footnote w:id="15">
    <w:p w:rsidR="00BE3543" w:rsidRPr="00CB333D" w:rsidRDefault="00BE3543" w:rsidP="002F1E9C">
      <w:pPr>
        <w:pStyle w:val="FootnoteText"/>
        <w:rPr>
          <w:lang w:val="pl-PL"/>
        </w:rPr>
      </w:pPr>
      <w:r>
        <w:rPr>
          <w:rStyle w:val="FootnoteReference"/>
        </w:rPr>
        <w:footnoteRef/>
      </w:r>
      <w:r w:rsidRPr="00CB333D">
        <w:rPr>
          <w:lang w:val="pl-PL"/>
        </w:rPr>
        <w:tab/>
      </w:r>
      <w:r>
        <w:t>Съобщението</w:t>
      </w:r>
      <w:r w:rsidRPr="00CB333D">
        <w:rPr>
          <w:lang w:val="pl-PL"/>
        </w:rPr>
        <w:t xml:space="preserve"> </w:t>
      </w:r>
      <w:r>
        <w:t>на</w:t>
      </w:r>
      <w:r w:rsidRPr="00CB333D">
        <w:rPr>
          <w:lang w:val="pl-PL"/>
        </w:rPr>
        <w:t xml:space="preserve"> </w:t>
      </w:r>
      <w:r>
        <w:t>Комисията</w:t>
      </w:r>
      <w:r w:rsidRPr="00CB333D">
        <w:rPr>
          <w:lang w:val="pl-PL"/>
        </w:rPr>
        <w:t xml:space="preserve"> — </w:t>
      </w:r>
      <w:r>
        <w:t>ЕВРОПА</w:t>
      </w:r>
      <w:r w:rsidRPr="00CB333D">
        <w:rPr>
          <w:lang w:val="pl-PL"/>
        </w:rPr>
        <w:t xml:space="preserve"> 2020 </w:t>
      </w:r>
      <w:r>
        <w:t>Стратегия</w:t>
      </w:r>
      <w:r w:rsidRPr="00CB333D">
        <w:rPr>
          <w:lang w:val="pl-PL"/>
        </w:rPr>
        <w:t xml:space="preserve"> </w:t>
      </w:r>
      <w:r>
        <w:t>за</w:t>
      </w:r>
      <w:r w:rsidRPr="00CB333D">
        <w:rPr>
          <w:lang w:val="pl-PL"/>
        </w:rPr>
        <w:t xml:space="preserve"> </w:t>
      </w:r>
      <w:r>
        <w:t>интелигентен</w:t>
      </w:r>
      <w:r w:rsidRPr="00CB333D">
        <w:rPr>
          <w:lang w:val="pl-PL"/>
        </w:rPr>
        <w:t xml:space="preserve">, </w:t>
      </w:r>
      <w:r>
        <w:t>устойчив</w:t>
      </w:r>
      <w:r w:rsidRPr="00CB333D">
        <w:rPr>
          <w:lang w:val="pl-PL"/>
        </w:rPr>
        <w:t xml:space="preserve"> </w:t>
      </w:r>
      <w:r>
        <w:t>и</w:t>
      </w:r>
      <w:r w:rsidRPr="00CB333D">
        <w:rPr>
          <w:lang w:val="pl-PL"/>
        </w:rPr>
        <w:t xml:space="preserve"> </w:t>
      </w:r>
      <w:r>
        <w:t>приобщаващ</w:t>
      </w:r>
      <w:r w:rsidRPr="00CB333D">
        <w:rPr>
          <w:lang w:val="pl-PL"/>
        </w:rPr>
        <w:t xml:space="preserve"> </w:t>
      </w:r>
      <w:r>
        <w:t>растеж</w:t>
      </w:r>
      <w:r w:rsidRPr="00CB333D">
        <w:rPr>
          <w:lang w:val="pl-PL"/>
        </w:rPr>
        <w:t xml:space="preserve"> /* COM/2010/2020 </w:t>
      </w:r>
      <w:r>
        <w:t>окончателен</w:t>
      </w:r>
      <w:r w:rsidRPr="00CB333D">
        <w:rPr>
          <w:lang w:val="pl-PL"/>
        </w:rPr>
        <w:t xml:space="preserve">*/ </w:t>
      </w:r>
    </w:p>
  </w:footnote>
  <w:footnote w:id="16">
    <w:p w:rsidR="00BE3543" w:rsidRPr="00CB333D" w:rsidRDefault="00BE3543">
      <w:pPr>
        <w:pStyle w:val="FootnoteText"/>
        <w:rPr>
          <w:lang w:val="pl-PL"/>
        </w:rPr>
      </w:pPr>
      <w:r>
        <w:rPr>
          <w:rStyle w:val="FootnoteReference"/>
        </w:rPr>
        <w:footnoteRef/>
      </w:r>
      <w:r w:rsidRPr="00CB333D">
        <w:rPr>
          <w:lang w:val="pl-PL"/>
        </w:rPr>
        <w:tab/>
      </w:r>
      <w:r>
        <w:t>Директива</w:t>
      </w:r>
      <w:r w:rsidRPr="00CB333D">
        <w:rPr>
          <w:lang w:val="pl-PL"/>
        </w:rPr>
        <w:t xml:space="preserve"> 2009/28/</w:t>
      </w:r>
      <w:r>
        <w:t>ЕО</w:t>
      </w:r>
      <w:r w:rsidRPr="00CB333D">
        <w:rPr>
          <w:lang w:val="pl-PL"/>
        </w:rPr>
        <w:t xml:space="preserve"> </w:t>
      </w:r>
      <w:r>
        <w:t>на</w:t>
      </w:r>
      <w:r w:rsidRPr="00CB333D">
        <w:rPr>
          <w:lang w:val="pl-PL"/>
        </w:rPr>
        <w:t xml:space="preserve"> </w:t>
      </w:r>
      <w:r>
        <w:t>Европейския</w:t>
      </w:r>
      <w:r w:rsidRPr="00CB333D">
        <w:rPr>
          <w:lang w:val="pl-PL"/>
        </w:rPr>
        <w:t xml:space="preserve"> </w:t>
      </w:r>
      <w:r>
        <w:t>парламент</w:t>
      </w:r>
      <w:r w:rsidRPr="00CB333D">
        <w:rPr>
          <w:lang w:val="pl-PL"/>
        </w:rPr>
        <w:t xml:space="preserve"> </w:t>
      </w:r>
      <w:r>
        <w:t>и</w:t>
      </w:r>
      <w:r w:rsidRPr="00CB333D">
        <w:rPr>
          <w:lang w:val="pl-PL"/>
        </w:rPr>
        <w:t xml:space="preserve"> </w:t>
      </w:r>
      <w:r>
        <w:t>на</w:t>
      </w:r>
      <w:r w:rsidRPr="00CB333D">
        <w:rPr>
          <w:lang w:val="pl-PL"/>
        </w:rPr>
        <w:t xml:space="preserve"> </w:t>
      </w:r>
      <w:r>
        <w:t>Съвета</w:t>
      </w:r>
      <w:r w:rsidRPr="00CB333D">
        <w:rPr>
          <w:lang w:val="pl-PL"/>
        </w:rPr>
        <w:t xml:space="preserve"> </w:t>
      </w:r>
      <w:r>
        <w:t>от</w:t>
      </w:r>
      <w:r w:rsidRPr="00CB333D">
        <w:rPr>
          <w:lang w:val="pl-PL"/>
        </w:rPr>
        <w:t xml:space="preserve"> 23 </w:t>
      </w:r>
      <w:r>
        <w:t>април</w:t>
      </w:r>
      <w:r w:rsidRPr="00CB333D">
        <w:rPr>
          <w:lang w:val="pl-PL"/>
        </w:rPr>
        <w:t xml:space="preserve"> 2009 </w:t>
      </w:r>
      <w:r>
        <w:t>г</w:t>
      </w:r>
      <w:r w:rsidRPr="00CB333D">
        <w:rPr>
          <w:lang w:val="pl-PL"/>
        </w:rPr>
        <w:t xml:space="preserve">. </w:t>
      </w:r>
      <w:r>
        <w:t>за</w:t>
      </w:r>
      <w:r w:rsidRPr="00CB333D">
        <w:rPr>
          <w:lang w:val="pl-PL"/>
        </w:rPr>
        <w:t xml:space="preserve"> </w:t>
      </w:r>
      <w:r>
        <w:t>насърчаване</w:t>
      </w:r>
      <w:r w:rsidRPr="00CB333D">
        <w:rPr>
          <w:lang w:val="pl-PL"/>
        </w:rPr>
        <w:t xml:space="preserve"> </w:t>
      </w:r>
      <w:r>
        <w:t>използването</w:t>
      </w:r>
      <w:r w:rsidRPr="00CB333D">
        <w:rPr>
          <w:lang w:val="pl-PL"/>
        </w:rPr>
        <w:t xml:space="preserve"> </w:t>
      </w:r>
      <w:r>
        <w:t>на</w:t>
      </w:r>
      <w:r w:rsidRPr="00CB333D">
        <w:rPr>
          <w:lang w:val="pl-PL"/>
        </w:rPr>
        <w:t xml:space="preserve"> </w:t>
      </w:r>
      <w:r>
        <w:t>енергия</w:t>
      </w:r>
      <w:r w:rsidRPr="00CB333D">
        <w:rPr>
          <w:lang w:val="pl-PL"/>
        </w:rPr>
        <w:t xml:space="preserve"> </w:t>
      </w:r>
      <w:r>
        <w:t>от</w:t>
      </w:r>
      <w:r w:rsidRPr="00CB333D">
        <w:rPr>
          <w:lang w:val="pl-PL"/>
        </w:rPr>
        <w:t xml:space="preserve"> </w:t>
      </w:r>
      <w:r>
        <w:t>възобновяеми</w:t>
      </w:r>
      <w:r w:rsidRPr="00CB333D">
        <w:rPr>
          <w:lang w:val="pl-PL"/>
        </w:rPr>
        <w:t xml:space="preserve"> </w:t>
      </w:r>
      <w:r>
        <w:t>източници</w:t>
      </w:r>
      <w:r w:rsidRPr="00CB333D">
        <w:rPr>
          <w:lang w:val="pl-PL"/>
        </w:rPr>
        <w:t xml:space="preserve"> </w:t>
      </w:r>
      <w:r>
        <w:t>и</w:t>
      </w:r>
      <w:r w:rsidRPr="00CB333D">
        <w:rPr>
          <w:lang w:val="pl-PL"/>
        </w:rPr>
        <w:t xml:space="preserve"> </w:t>
      </w:r>
      <w:r>
        <w:t>за</w:t>
      </w:r>
      <w:r w:rsidRPr="00CB333D">
        <w:rPr>
          <w:lang w:val="pl-PL"/>
        </w:rPr>
        <w:t xml:space="preserve"> </w:t>
      </w:r>
      <w:r>
        <w:t>изменение</w:t>
      </w:r>
      <w:r w:rsidRPr="00CB333D">
        <w:rPr>
          <w:lang w:val="pl-PL"/>
        </w:rPr>
        <w:t xml:space="preserve"> </w:t>
      </w:r>
      <w:r>
        <w:t>и</w:t>
      </w:r>
      <w:r w:rsidRPr="00CB333D">
        <w:rPr>
          <w:lang w:val="pl-PL"/>
        </w:rPr>
        <w:t xml:space="preserve"> </w:t>
      </w:r>
      <w:r>
        <w:t>впоследствие</w:t>
      </w:r>
      <w:r w:rsidRPr="00CB333D">
        <w:rPr>
          <w:lang w:val="pl-PL"/>
        </w:rPr>
        <w:t xml:space="preserve"> </w:t>
      </w:r>
      <w:r>
        <w:t>за</w:t>
      </w:r>
      <w:r w:rsidRPr="00CB333D">
        <w:rPr>
          <w:lang w:val="pl-PL"/>
        </w:rPr>
        <w:t xml:space="preserve"> </w:t>
      </w:r>
      <w:r>
        <w:t>отмяна</w:t>
      </w:r>
      <w:r w:rsidRPr="00CB333D">
        <w:rPr>
          <w:lang w:val="pl-PL"/>
        </w:rPr>
        <w:t xml:space="preserve"> </w:t>
      </w:r>
      <w:r>
        <w:t>на</w:t>
      </w:r>
      <w:r w:rsidRPr="00CB333D">
        <w:rPr>
          <w:lang w:val="pl-PL"/>
        </w:rPr>
        <w:t xml:space="preserve"> </w:t>
      </w:r>
      <w:r>
        <w:t>Директиви</w:t>
      </w:r>
      <w:r w:rsidRPr="00CB333D">
        <w:rPr>
          <w:lang w:val="pl-PL"/>
        </w:rPr>
        <w:t xml:space="preserve"> 2001/77/E</w:t>
      </w:r>
      <w:r>
        <w:t>О</w:t>
      </w:r>
      <w:r w:rsidRPr="00CB333D">
        <w:rPr>
          <w:lang w:val="pl-PL"/>
        </w:rPr>
        <w:t xml:space="preserve"> </w:t>
      </w:r>
      <w:r>
        <w:t>и</w:t>
      </w:r>
      <w:r w:rsidRPr="00CB333D">
        <w:rPr>
          <w:lang w:val="pl-PL"/>
        </w:rPr>
        <w:t xml:space="preserve"> 2003/30/E</w:t>
      </w:r>
      <w:r>
        <w:t>О</w:t>
      </w:r>
      <w:r w:rsidRPr="00CB333D">
        <w:rPr>
          <w:lang w:val="pl-PL"/>
        </w:rPr>
        <w:t>, O</w:t>
      </w:r>
      <w:r>
        <w:t>В</w:t>
      </w:r>
      <w:r w:rsidRPr="00CB333D">
        <w:rPr>
          <w:lang w:val="pl-PL"/>
        </w:rPr>
        <w:t xml:space="preserve"> L 140, 5.6.2009 </w:t>
      </w:r>
      <w:r>
        <w:t>г</w:t>
      </w:r>
      <w:r w:rsidRPr="00CB333D">
        <w:rPr>
          <w:lang w:val="pl-PL"/>
        </w:rPr>
        <w:t xml:space="preserve">., </w:t>
      </w:r>
      <w:r>
        <w:t>стр</w:t>
      </w:r>
      <w:r w:rsidRPr="00CB333D">
        <w:rPr>
          <w:lang w:val="pl-PL"/>
        </w:rPr>
        <w:t>. 16—62.</w:t>
      </w:r>
    </w:p>
  </w:footnote>
  <w:footnote w:id="17">
    <w:p w:rsidR="00BE3543" w:rsidRPr="00CB333D" w:rsidRDefault="00BE3543">
      <w:pPr>
        <w:pStyle w:val="FootnoteText"/>
        <w:rPr>
          <w:lang w:val="pl-PL"/>
        </w:rPr>
      </w:pPr>
      <w:r>
        <w:rPr>
          <w:rStyle w:val="FootnoteReference"/>
        </w:rPr>
        <w:footnoteRef/>
      </w:r>
      <w:r w:rsidRPr="00CB333D">
        <w:rPr>
          <w:lang w:val="pl-PL"/>
        </w:rPr>
        <w:tab/>
      </w:r>
      <w:r>
        <w:t>Директива</w:t>
      </w:r>
      <w:r w:rsidRPr="00CB333D">
        <w:rPr>
          <w:lang w:val="pl-PL"/>
        </w:rPr>
        <w:t xml:space="preserve"> 2003/87/</w:t>
      </w:r>
      <w:r>
        <w:t>ЕО</w:t>
      </w:r>
      <w:r w:rsidRPr="00CB333D">
        <w:rPr>
          <w:lang w:val="pl-PL"/>
        </w:rPr>
        <w:t xml:space="preserve"> </w:t>
      </w:r>
      <w:r>
        <w:t>на</w:t>
      </w:r>
      <w:r w:rsidRPr="00CB333D">
        <w:rPr>
          <w:lang w:val="pl-PL"/>
        </w:rPr>
        <w:t xml:space="preserve"> </w:t>
      </w:r>
      <w:r>
        <w:t>Европейския</w:t>
      </w:r>
      <w:r w:rsidRPr="00CB333D">
        <w:rPr>
          <w:lang w:val="pl-PL"/>
        </w:rPr>
        <w:t xml:space="preserve"> </w:t>
      </w:r>
      <w:r>
        <w:t>парламент</w:t>
      </w:r>
      <w:r w:rsidRPr="00CB333D">
        <w:rPr>
          <w:lang w:val="pl-PL"/>
        </w:rPr>
        <w:t xml:space="preserve"> </w:t>
      </w:r>
      <w:r>
        <w:t>и</w:t>
      </w:r>
      <w:r w:rsidRPr="00CB333D">
        <w:rPr>
          <w:lang w:val="pl-PL"/>
        </w:rPr>
        <w:t xml:space="preserve"> </w:t>
      </w:r>
      <w:r>
        <w:t>на</w:t>
      </w:r>
      <w:r w:rsidRPr="00CB333D">
        <w:rPr>
          <w:lang w:val="pl-PL"/>
        </w:rPr>
        <w:t xml:space="preserve"> </w:t>
      </w:r>
      <w:r>
        <w:t>Съвета</w:t>
      </w:r>
      <w:r w:rsidRPr="00CB333D">
        <w:rPr>
          <w:lang w:val="pl-PL"/>
        </w:rPr>
        <w:t xml:space="preserve"> </w:t>
      </w:r>
      <w:r>
        <w:t>от</w:t>
      </w:r>
      <w:r w:rsidRPr="00CB333D">
        <w:rPr>
          <w:lang w:val="pl-PL"/>
        </w:rPr>
        <w:t xml:space="preserve"> 13 </w:t>
      </w:r>
      <w:r>
        <w:t>октомври</w:t>
      </w:r>
      <w:r w:rsidRPr="00CB333D">
        <w:rPr>
          <w:lang w:val="pl-PL"/>
        </w:rPr>
        <w:t xml:space="preserve"> 2003 </w:t>
      </w:r>
      <w:r>
        <w:t>г</w:t>
      </w:r>
      <w:r w:rsidRPr="00CB333D">
        <w:rPr>
          <w:lang w:val="pl-PL"/>
        </w:rPr>
        <w:t xml:space="preserve">. </w:t>
      </w:r>
      <w:r>
        <w:t>за</w:t>
      </w:r>
      <w:r w:rsidRPr="00CB333D">
        <w:rPr>
          <w:lang w:val="pl-PL"/>
        </w:rPr>
        <w:t xml:space="preserve"> </w:t>
      </w:r>
      <w:r>
        <w:t>установяване</w:t>
      </w:r>
      <w:r w:rsidRPr="00CB333D">
        <w:rPr>
          <w:lang w:val="pl-PL"/>
        </w:rPr>
        <w:t xml:space="preserve"> </w:t>
      </w:r>
      <w:r>
        <w:t>на</w:t>
      </w:r>
      <w:r w:rsidRPr="00CB333D">
        <w:rPr>
          <w:lang w:val="pl-PL"/>
        </w:rPr>
        <w:t xml:space="preserve"> </w:t>
      </w:r>
      <w:r>
        <w:t>схема</w:t>
      </w:r>
      <w:r w:rsidRPr="00CB333D">
        <w:rPr>
          <w:lang w:val="pl-PL"/>
        </w:rPr>
        <w:t xml:space="preserve"> </w:t>
      </w:r>
      <w:r>
        <w:t>за</w:t>
      </w:r>
      <w:r w:rsidRPr="00CB333D">
        <w:rPr>
          <w:lang w:val="pl-PL"/>
        </w:rPr>
        <w:t xml:space="preserve"> </w:t>
      </w:r>
      <w:r>
        <w:t>търговия</w:t>
      </w:r>
      <w:r w:rsidRPr="00CB333D">
        <w:rPr>
          <w:lang w:val="pl-PL"/>
        </w:rPr>
        <w:t xml:space="preserve"> </w:t>
      </w:r>
      <w:r>
        <w:t>с</w:t>
      </w:r>
      <w:r w:rsidRPr="00CB333D">
        <w:rPr>
          <w:lang w:val="pl-PL"/>
        </w:rPr>
        <w:t xml:space="preserve"> </w:t>
      </w:r>
      <w:r>
        <w:t>квоти</w:t>
      </w:r>
      <w:r w:rsidRPr="00CB333D">
        <w:rPr>
          <w:lang w:val="pl-PL"/>
        </w:rPr>
        <w:t xml:space="preserve"> </w:t>
      </w:r>
      <w:r>
        <w:t>за</w:t>
      </w:r>
      <w:r w:rsidRPr="00CB333D">
        <w:rPr>
          <w:lang w:val="pl-PL"/>
        </w:rPr>
        <w:t xml:space="preserve"> </w:t>
      </w:r>
      <w:r>
        <w:t>емисии</w:t>
      </w:r>
      <w:r w:rsidRPr="00CB333D">
        <w:rPr>
          <w:lang w:val="pl-PL"/>
        </w:rPr>
        <w:t xml:space="preserve"> </w:t>
      </w:r>
      <w:r>
        <w:t>на</w:t>
      </w:r>
      <w:r w:rsidRPr="00CB333D">
        <w:rPr>
          <w:lang w:val="pl-PL"/>
        </w:rPr>
        <w:t xml:space="preserve"> </w:t>
      </w:r>
      <w:r>
        <w:t>парникови</w:t>
      </w:r>
      <w:r w:rsidRPr="00CB333D">
        <w:rPr>
          <w:lang w:val="pl-PL"/>
        </w:rPr>
        <w:t xml:space="preserve"> </w:t>
      </w:r>
      <w:r>
        <w:t>газове</w:t>
      </w:r>
      <w:r w:rsidRPr="00CB333D">
        <w:rPr>
          <w:lang w:val="pl-PL"/>
        </w:rPr>
        <w:t xml:space="preserve"> </w:t>
      </w:r>
      <w:r>
        <w:t>в</w:t>
      </w:r>
      <w:r w:rsidRPr="00CB333D">
        <w:rPr>
          <w:lang w:val="pl-PL"/>
        </w:rPr>
        <w:t xml:space="preserve"> </w:t>
      </w:r>
      <w:r>
        <w:t>рамките</w:t>
      </w:r>
      <w:r w:rsidRPr="00CB333D">
        <w:rPr>
          <w:lang w:val="pl-PL"/>
        </w:rPr>
        <w:t xml:space="preserve"> </w:t>
      </w:r>
      <w:r>
        <w:t>на</w:t>
      </w:r>
      <w:r w:rsidRPr="00CB333D">
        <w:rPr>
          <w:lang w:val="pl-PL"/>
        </w:rPr>
        <w:t xml:space="preserve"> </w:t>
      </w:r>
      <w:r>
        <w:t>Общността</w:t>
      </w:r>
      <w:r w:rsidRPr="00CB333D">
        <w:rPr>
          <w:lang w:val="pl-PL"/>
        </w:rPr>
        <w:t xml:space="preserve"> </w:t>
      </w:r>
      <w:r>
        <w:t>и</w:t>
      </w:r>
      <w:r w:rsidRPr="00CB333D">
        <w:rPr>
          <w:lang w:val="pl-PL"/>
        </w:rPr>
        <w:t xml:space="preserve"> </w:t>
      </w:r>
      <w:r>
        <w:t>за</w:t>
      </w:r>
      <w:r w:rsidRPr="00CB333D">
        <w:rPr>
          <w:lang w:val="pl-PL"/>
        </w:rPr>
        <w:t xml:space="preserve"> </w:t>
      </w:r>
      <w:r>
        <w:t>изменение</w:t>
      </w:r>
      <w:r w:rsidRPr="00CB333D">
        <w:rPr>
          <w:lang w:val="pl-PL"/>
        </w:rPr>
        <w:t xml:space="preserve"> </w:t>
      </w:r>
      <w:r>
        <w:t>на</w:t>
      </w:r>
      <w:r w:rsidRPr="00CB333D">
        <w:rPr>
          <w:lang w:val="pl-PL"/>
        </w:rPr>
        <w:t xml:space="preserve"> </w:t>
      </w:r>
      <w:r>
        <w:t>Директива</w:t>
      </w:r>
      <w:r w:rsidRPr="00CB333D">
        <w:rPr>
          <w:lang w:val="pl-PL"/>
        </w:rPr>
        <w:t xml:space="preserve"> 96/61/</w:t>
      </w:r>
      <w:r>
        <w:t>ЕО</w:t>
      </w:r>
      <w:r w:rsidRPr="00CB333D">
        <w:rPr>
          <w:lang w:val="pl-PL"/>
        </w:rPr>
        <w:t xml:space="preserve"> </w:t>
      </w:r>
      <w:r>
        <w:t>на</w:t>
      </w:r>
      <w:r w:rsidRPr="00CB333D">
        <w:rPr>
          <w:lang w:val="pl-PL"/>
        </w:rPr>
        <w:t xml:space="preserve"> </w:t>
      </w:r>
      <w:r>
        <w:t>Съвета</w:t>
      </w:r>
      <w:r w:rsidRPr="00CB333D">
        <w:rPr>
          <w:lang w:val="pl-PL"/>
        </w:rPr>
        <w:t xml:space="preserve">, </w:t>
      </w:r>
      <w:r>
        <w:t>ОВ</w:t>
      </w:r>
      <w:r w:rsidRPr="00CB333D">
        <w:rPr>
          <w:lang w:val="pl-PL"/>
        </w:rPr>
        <w:t xml:space="preserve"> L 275, 25.10.2003 </w:t>
      </w:r>
      <w:r>
        <w:t>г</w:t>
      </w:r>
      <w:r w:rsidRPr="00CB333D">
        <w:rPr>
          <w:lang w:val="pl-PL"/>
        </w:rPr>
        <w:t xml:space="preserve">., </w:t>
      </w:r>
      <w:r>
        <w:t>стр</w:t>
      </w:r>
      <w:r w:rsidRPr="00CB333D">
        <w:rPr>
          <w:lang w:val="pl-PL"/>
        </w:rPr>
        <w:t>. 32—46.</w:t>
      </w:r>
    </w:p>
  </w:footnote>
  <w:footnote w:id="18">
    <w:p w:rsidR="00BE3543" w:rsidRPr="00CB333D" w:rsidRDefault="00BE3543" w:rsidP="00E2072F">
      <w:pPr>
        <w:pStyle w:val="FootnoteText"/>
        <w:rPr>
          <w:lang w:val="pt-PT"/>
        </w:rPr>
      </w:pPr>
      <w:r>
        <w:rPr>
          <w:rStyle w:val="FootnoteReference"/>
        </w:rPr>
        <w:footnoteRef/>
      </w:r>
      <w:r w:rsidRPr="00CB333D">
        <w:rPr>
          <w:lang w:val="pt-PT"/>
        </w:rPr>
        <w:tab/>
      </w:r>
      <w:proofErr w:type="gramStart"/>
      <w:r w:rsidRPr="00CB333D">
        <w:rPr>
          <w:lang w:val="pt-PT"/>
        </w:rPr>
        <w:t>COM(2012</w:t>
      </w:r>
      <w:proofErr w:type="gramEnd"/>
      <w:r w:rsidRPr="00CB333D">
        <w:rPr>
          <w:lang w:val="pt-PT"/>
        </w:rPr>
        <w:t>) 595, 17.10.2012 </w:t>
      </w:r>
      <w:r>
        <w:t>г</w:t>
      </w:r>
      <w:r w:rsidRPr="00CB333D">
        <w:rPr>
          <w:lang w:val="pt-PT"/>
        </w:rPr>
        <w:t xml:space="preserve">. </w:t>
      </w:r>
    </w:p>
  </w:footnote>
  <w:footnote w:id="19">
    <w:p w:rsidR="00BE3543" w:rsidRPr="00CB333D" w:rsidRDefault="00BE3543" w:rsidP="0093402F">
      <w:pPr>
        <w:pStyle w:val="FootnoteText"/>
        <w:rPr>
          <w:lang w:val="pt-PT"/>
        </w:rPr>
      </w:pPr>
      <w:r>
        <w:rPr>
          <w:rStyle w:val="FootnoteReference"/>
        </w:rPr>
        <w:footnoteRef/>
      </w:r>
      <w:r w:rsidRPr="00CB333D">
        <w:rPr>
          <w:lang w:val="pt-PT"/>
        </w:rPr>
        <w:tab/>
      </w:r>
      <w:r>
        <w:t>ОВ</w:t>
      </w:r>
      <w:r w:rsidRPr="00CB333D">
        <w:rPr>
          <w:lang w:val="pt-PT"/>
        </w:rPr>
        <w:t xml:space="preserve"> L 283, 31.10.2003 </w:t>
      </w:r>
      <w:r>
        <w:t>г</w:t>
      </w:r>
      <w:r w:rsidRPr="00CB333D">
        <w:rPr>
          <w:lang w:val="pt-PT"/>
        </w:rPr>
        <w:t xml:space="preserve">., </w:t>
      </w:r>
      <w:r>
        <w:t>стр</w:t>
      </w:r>
      <w:r w:rsidRPr="00CB333D">
        <w:rPr>
          <w:lang w:val="pt-PT"/>
        </w:rPr>
        <w:t>. 51.</w:t>
      </w:r>
    </w:p>
  </w:footnote>
  <w:footnote w:id="20">
    <w:p w:rsidR="00BE3543" w:rsidRPr="00CB333D" w:rsidRDefault="00BE3543">
      <w:pPr>
        <w:pStyle w:val="FootnoteText"/>
        <w:rPr>
          <w:lang w:val="pt-PT"/>
        </w:rPr>
      </w:pPr>
      <w:r>
        <w:rPr>
          <w:rStyle w:val="FootnoteReference"/>
        </w:rPr>
        <w:footnoteRef/>
      </w:r>
      <w:r w:rsidRPr="00CB333D">
        <w:rPr>
          <w:lang w:val="pt-PT"/>
        </w:rPr>
        <w:tab/>
      </w:r>
      <w:r>
        <w:t>ОВ</w:t>
      </w:r>
      <w:r w:rsidRPr="00CB333D">
        <w:rPr>
          <w:lang w:val="pt-PT"/>
        </w:rPr>
        <w:t xml:space="preserve"> L 143, 30.4.2004 </w:t>
      </w:r>
      <w:r>
        <w:t>г</w:t>
      </w:r>
      <w:r w:rsidRPr="00CB333D">
        <w:rPr>
          <w:lang w:val="pt-PT"/>
        </w:rPr>
        <w:t xml:space="preserve">., </w:t>
      </w:r>
      <w:r>
        <w:t>стр</w:t>
      </w:r>
      <w:r w:rsidRPr="00CB333D">
        <w:rPr>
          <w:lang w:val="pt-PT"/>
        </w:rPr>
        <w:t>. 56.</w:t>
      </w:r>
    </w:p>
  </w:footnote>
  <w:footnote w:id="21">
    <w:p w:rsidR="00BE3543" w:rsidRPr="00CB333D" w:rsidRDefault="00BE3543">
      <w:pPr>
        <w:pStyle w:val="FootnoteText"/>
        <w:rPr>
          <w:lang w:val="pt-PT"/>
        </w:rPr>
      </w:pPr>
      <w:r>
        <w:rPr>
          <w:rStyle w:val="FootnoteReference"/>
        </w:rPr>
        <w:footnoteRef/>
      </w:r>
      <w:r w:rsidRPr="00CB333D">
        <w:rPr>
          <w:lang w:val="pt-PT"/>
        </w:rPr>
        <w:tab/>
      </w:r>
      <w:r>
        <w:t>Директива</w:t>
      </w:r>
      <w:r w:rsidRPr="00CB333D">
        <w:rPr>
          <w:lang w:val="pt-PT"/>
        </w:rPr>
        <w:t xml:space="preserve"> 2006/21/</w:t>
      </w:r>
      <w:r>
        <w:t>ЕО</w:t>
      </w:r>
      <w:r w:rsidRPr="00CB333D">
        <w:rPr>
          <w:lang w:val="pt-PT"/>
        </w:rPr>
        <w:t xml:space="preserve"> </w:t>
      </w:r>
      <w:r>
        <w:t>на</w:t>
      </w:r>
      <w:r w:rsidRPr="00CB333D">
        <w:rPr>
          <w:lang w:val="pt-PT"/>
        </w:rPr>
        <w:t xml:space="preserve"> </w:t>
      </w:r>
      <w:r>
        <w:t>Европейския</w:t>
      </w:r>
      <w:r w:rsidRPr="00CB333D">
        <w:rPr>
          <w:lang w:val="pt-PT"/>
        </w:rPr>
        <w:t xml:space="preserve"> </w:t>
      </w:r>
      <w:r>
        <w:t>парламент</w:t>
      </w:r>
      <w:r w:rsidRPr="00CB333D">
        <w:rPr>
          <w:lang w:val="pt-PT"/>
        </w:rPr>
        <w:t xml:space="preserve"> </w:t>
      </w:r>
      <w:r>
        <w:t>и</w:t>
      </w:r>
      <w:r w:rsidRPr="00CB333D">
        <w:rPr>
          <w:lang w:val="pt-PT"/>
        </w:rPr>
        <w:t xml:space="preserve"> </w:t>
      </w:r>
      <w:r>
        <w:t>на</w:t>
      </w:r>
      <w:r w:rsidRPr="00CB333D">
        <w:rPr>
          <w:lang w:val="pt-PT"/>
        </w:rPr>
        <w:t xml:space="preserve"> </w:t>
      </w:r>
      <w:r>
        <w:t>Съвета</w:t>
      </w:r>
      <w:r w:rsidRPr="00CB333D">
        <w:rPr>
          <w:lang w:val="pt-PT"/>
        </w:rPr>
        <w:t xml:space="preserve"> </w:t>
      </w:r>
      <w:r>
        <w:t>от</w:t>
      </w:r>
      <w:r w:rsidRPr="00CB333D">
        <w:rPr>
          <w:lang w:val="pt-PT"/>
        </w:rPr>
        <w:t xml:space="preserve"> 15 </w:t>
      </w:r>
      <w:r>
        <w:t>март</w:t>
      </w:r>
      <w:r w:rsidRPr="00CB333D">
        <w:rPr>
          <w:lang w:val="pt-PT"/>
        </w:rPr>
        <w:t xml:space="preserve"> 2006 </w:t>
      </w:r>
      <w:r>
        <w:t>г</w:t>
      </w:r>
      <w:r w:rsidRPr="00CB333D">
        <w:rPr>
          <w:lang w:val="pt-PT"/>
        </w:rPr>
        <w:t xml:space="preserve">. </w:t>
      </w:r>
      <w:r>
        <w:t>относно</w:t>
      </w:r>
      <w:r w:rsidRPr="00CB333D">
        <w:rPr>
          <w:lang w:val="pt-PT"/>
        </w:rPr>
        <w:t xml:space="preserve"> </w:t>
      </w:r>
      <w:r>
        <w:t>управлението</w:t>
      </w:r>
      <w:r w:rsidRPr="00CB333D">
        <w:rPr>
          <w:lang w:val="pt-PT"/>
        </w:rPr>
        <w:t xml:space="preserve"> </w:t>
      </w:r>
      <w:r>
        <w:t>на</w:t>
      </w:r>
      <w:r w:rsidRPr="00CB333D">
        <w:rPr>
          <w:lang w:val="pt-PT"/>
        </w:rPr>
        <w:t xml:space="preserve"> </w:t>
      </w:r>
      <w:r>
        <w:t>отпадъците</w:t>
      </w:r>
      <w:r w:rsidRPr="00CB333D">
        <w:rPr>
          <w:lang w:val="pt-PT"/>
        </w:rPr>
        <w:t xml:space="preserve"> </w:t>
      </w:r>
      <w:r>
        <w:t>от</w:t>
      </w:r>
      <w:r w:rsidRPr="00CB333D">
        <w:rPr>
          <w:lang w:val="pt-PT"/>
        </w:rPr>
        <w:t xml:space="preserve"> </w:t>
      </w:r>
      <w:r>
        <w:t>миннодобивните</w:t>
      </w:r>
      <w:r w:rsidRPr="00CB333D">
        <w:rPr>
          <w:lang w:val="pt-PT"/>
        </w:rPr>
        <w:t xml:space="preserve"> </w:t>
      </w:r>
      <w:r>
        <w:t>индустрии</w:t>
      </w:r>
      <w:r w:rsidRPr="00CB333D">
        <w:rPr>
          <w:lang w:val="pt-PT"/>
        </w:rPr>
        <w:t xml:space="preserve"> </w:t>
      </w:r>
      <w:r>
        <w:t>и</w:t>
      </w:r>
      <w:r w:rsidRPr="00CB333D">
        <w:rPr>
          <w:lang w:val="pt-PT"/>
        </w:rPr>
        <w:t xml:space="preserve"> </w:t>
      </w:r>
      <w:r>
        <w:t>за</w:t>
      </w:r>
      <w:r w:rsidRPr="00CB333D">
        <w:rPr>
          <w:lang w:val="pt-PT"/>
        </w:rPr>
        <w:t xml:space="preserve"> </w:t>
      </w:r>
      <w:r>
        <w:t>изменение</w:t>
      </w:r>
      <w:r w:rsidRPr="00CB333D">
        <w:rPr>
          <w:lang w:val="pt-PT"/>
        </w:rPr>
        <w:t xml:space="preserve"> </w:t>
      </w:r>
      <w:r>
        <w:t>на</w:t>
      </w:r>
      <w:r w:rsidRPr="00CB333D">
        <w:rPr>
          <w:lang w:val="pt-PT"/>
        </w:rPr>
        <w:t xml:space="preserve"> </w:t>
      </w:r>
      <w:r>
        <w:t>Директива</w:t>
      </w:r>
      <w:r w:rsidRPr="00CB333D">
        <w:rPr>
          <w:lang w:val="pt-PT"/>
        </w:rPr>
        <w:t xml:space="preserve"> 2004/35/</w:t>
      </w:r>
      <w:r>
        <w:t>ЕО</w:t>
      </w:r>
      <w:r w:rsidRPr="00CB333D">
        <w:rPr>
          <w:lang w:val="pt-PT"/>
        </w:rPr>
        <w:t xml:space="preserve">, </w:t>
      </w:r>
      <w:r>
        <w:t>ОВ</w:t>
      </w:r>
      <w:r w:rsidRPr="00CB333D">
        <w:rPr>
          <w:lang w:val="pt-PT"/>
        </w:rPr>
        <w:t xml:space="preserve"> L 102, 11.4.2006 </w:t>
      </w:r>
      <w:r>
        <w:t>г</w:t>
      </w:r>
      <w:r w:rsidRPr="00CB333D">
        <w:rPr>
          <w:lang w:val="pt-PT"/>
        </w:rPr>
        <w:t xml:space="preserve">., </w:t>
      </w:r>
      <w:r>
        <w:t>стр</w:t>
      </w:r>
      <w:r w:rsidRPr="00CB333D">
        <w:rPr>
          <w:lang w:val="pt-PT"/>
        </w:rPr>
        <w:t>. 15.</w:t>
      </w:r>
    </w:p>
  </w:footnote>
  <w:footnote w:id="22">
    <w:p w:rsidR="00BE3543" w:rsidRPr="00CB333D" w:rsidRDefault="00BE3543">
      <w:pPr>
        <w:pStyle w:val="FootnoteText"/>
        <w:rPr>
          <w:lang w:val="pt-PT"/>
        </w:rPr>
      </w:pPr>
      <w:r>
        <w:rPr>
          <w:rStyle w:val="FootnoteReference"/>
        </w:rPr>
        <w:footnoteRef/>
      </w:r>
      <w:r w:rsidRPr="00CB333D">
        <w:rPr>
          <w:lang w:val="pt-PT"/>
        </w:rPr>
        <w:tab/>
      </w:r>
      <w:r>
        <w:t>Директива</w:t>
      </w:r>
      <w:r w:rsidRPr="00CB333D">
        <w:rPr>
          <w:lang w:val="pt-PT"/>
        </w:rPr>
        <w:t xml:space="preserve"> 2009/31/</w:t>
      </w:r>
      <w:r>
        <w:t>ЕО</w:t>
      </w:r>
      <w:r w:rsidRPr="00CB333D">
        <w:rPr>
          <w:lang w:val="pt-PT"/>
        </w:rPr>
        <w:t xml:space="preserve"> </w:t>
      </w:r>
      <w:r>
        <w:t>на</w:t>
      </w:r>
      <w:r w:rsidRPr="00CB333D">
        <w:rPr>
          <w:lang w:val="pt-PT"/>
        </w:rPr>
        <w:t xml:space="preserve"> </w:t>
      </w:r>
      <w:r>
        <w:t>Европейския</w:t>
      </w:r>
      <w:r w:rsidRPr="00CB333D">
        <w:rPr>
          <w:lang w:val="pt-PT"/>
        </w:rPr>
        <w:t xml:space="preserve"> </w:t>
      </w:r>
      <w:r>
        <w:t>парламент</w:t>
      </w:r>
      <w:r w:rsidRPr="00CB333D">
        <w:rPr>
          <w:lang w:val="pt-PT"/>
        </w:rPr>
        <w:t xml:space="preserve"> </w:t>
      </w:r>
      <w:r>
        <w:t>и</w:t>
      </w:r>
      <w:r w:rsidRPr="00CB333D">
        <w:rPr>
          <w:lang w:val="pt-PT"/>
        </w:rPr>
        <w:t xml:space="preserve"> </w:t>
      </w:r>
      <w:r>
        <w:t>на</w:t>
      </w:r>
      <w:r w:rsidRPr="00CB333D">
        <w:rPr>
          <w:lang w:val="pt-PT"/>
        </w:rPr>
        <w:t xml:space="preserve"> </w:t>
      </w:r>
      <w:r>
        <w:t>Съвета</w:t>
      </w:r>
      <w:r w:rsidRPr="00CB333D">
        <w:rPr>
          <w:lang w:val="pt-PT"/>
        </w:rPr>
        <w:t xml:space="preserve"> </w:t>
      </w:r>
      <w:r>
        <w:t>от</w:t>
      </w:r>
      <w:r w:rsidRPr="00CB333D">
        <w:rPr>
          <w:lang w:val="pt-PT"/>
        </w:rPr>
        <w:t xml:space="preserve"> 23 </w:t>
      </w:r>
      <w:r>
        <w:t>април</w:t>
      </w:r>
      <w:r w:rsidRPr="00CB333D">
        <w:rPr>
          <w:lang w:val="pt-PT"/>
        </w:rPr>
        <w:t xml:space="preserve"> 2009 </w:t>
      </w:r>
      <w:r>
        <w:t>г</w:t>
      </w:r>
      <w:r w:rsidRPr="00CB333D">
        <w:rPr>
          <w:lang w:val="pt-PT"/>
        </w:rPr>
        <w:t xml:space="preserve">. </w:t>
      </w:r>
      <w:r>
        <w:t>относно</w:t>
      </w:r>
      <w:r w:rsidRPr="00CB333D">
        <w:rPr>
          <w:lang w:val="pt-PT"/>
        </w:rPr>
        <w:t xml:space="preserve"> </w:t>
      </w:r>
      <w:r>
        <w:t>съхранението</w:t>
      </w:r>
      <w:r w:rsidRPr="00CB333D">
        <w:rPr>
          <w:lang w:val="pt-PT"/>
        </w:rPr>
        <w:t xml:space="preserve"> </w:t>
      </w:r>
      <w:r>
        <w:t>на</w:t>
      </w:r>
      <w:r w:rsidRPr="00CB333D">
        <w:rPr>
          <w:lang w:val="pt-PT"/>
        </w:rPr>
        <w:t xml:space="preserve"> </w:t>
      </w:r>
      <w:r>
        <w:t>въглероден</w:t>
      </w:r>
      <w:r w:rsidRPr="00CB333D">
        <w:rPr>
          <w:lang w:val="pt-PT"/>
        </w:rPr>
        <w:t xml:space="preserve"> </w:t>
      </w:r>
      <w:r>
        <w:t>диоксид</w:t>
      </w:r>
      <w:r w:rsidRPr="00CB333D">
        <w:rPr>
          <w:lang w:val="pt-PT"/>
        </w:rPr>
        <w:t xml:space="preserve"> </w:t>
      </w:r>
      <w:r>
        <w:t>в</w:t>
      </w:r>
      <w:r w:rsidRPr="00CB333D">
        <w:rPr>
          <w:lang w:val="pt-PT"/>
        </w:rPr>
        <w:t xml:space="preserve"> </w:t>
      </w:r>
      <w:r>
        <w:t>геоложки</w:t>
      </w:r>
      <w:r w:rsidRPr="00CB333D">
        <w:rPr>
          <w:lang w:val="pt-PT"/>
        </w:rPr>
        <w:t xml:space="preserve"> </w:t>
      </w:r>
      <w:r>
        <w:t>формации</w:t>
      </w:r>
      <w:r w:rsidRPr="00CB333D">
        <w:rPr>
          <w:lang w:val="pt-PT"/>
        </w:rPr>
        <w:t xml:space="preserve"> </w:t>
      </w:r>
      <w:r>
        <w:t>и</w:t>
      </w:r>
      <w:r w:rsidRPr="00CB333D">
        <w:rPr>
          <w:lang w:val="pt-PT"/>
        </w:rPr>
        <w:t xml:space="preserve"> </w:t>
      </w:r>
      <w:r>
        <w:t>за</w:t>
      </w:r>
      <w:r w:rsidRPr="00CB333D">
        <w:rPr>
          <w:lang w:val="pt-PT"/>
        </w:rPr>
        <w:t xml:space="preserve"> </w:t>
      </w:r>
      <w:r>
        <w:t>изменение</w:t>
      </w:r>
      <w:r w:rsidRPr="00CB333D">
        <w:rPr>
          <w:lang w:val="pt-PT"/>
        </w:rPr>
        <w:t xml:space="preserve"> </w:t>
      </w:r>
      <w:r>
        <w:t>на</w:t>
      </w:r>
      <w:r w:rsidRPr="00CB333D">
        <w:rPr>
          <w:lang w:val="pt-PT"/>
        </w:rPr>
        <w:t xml:space="preserve"> </w:t>
      </w:r>
      <w:r>
        <w:t>Директива</w:t>
      </w:r>
      <w:r w:rsidRPr="00CB333D">
        <w:rPr>
          <w:lang w:val="pt-PT"/>
        </w:rPr>
        <w:t xml:space="preserve"> 85/337/</w:t>
      </w:r>
      <w:r>
        <w:t>ЕИО</w:t>
      </w:r>
      <w:r w:rsidRPr="00CB333D">
        <w:rPr>
          <w:lang w:val="pt-PT"/>
        </w:rPr>
        <w:t xml:space="preserve"> </w:t>
      </w:r>
      <w:r>
        <w:t>на</w:t>
      </w:r>
      <w:r w:rsidRPr="00CB333D">
        <w:rPr>
          <w:lang w:val="pt-PT"/>
        </w:rPr>
        <w:t xml:space="preserve"> </w:t>
      </w:r>
      <w:r>
        <w:t>Съвета</w:t>
      </w:r>
      <w:r w:rsidRPr="00CB333D">
        <w:rPr>
          <w:lang w:val="pt-PT"/>
        </w:rPr>
        <w:t xml:space="preserve">, </w:t>
      </w:r>
      <w:r>
        <w:t>Директиви</w:t>
      </w:r>
      <w:r w:rsidRPr="00CB333D">
        <w:rPr>
          <w:lang w:val="pt-PT"/>
        </w:rPr>
        <w:t xml:space="preserve"> 2000/60/</w:t>
      </w:r>
      <w:r>
        <w:t>ЕО</w:t>
      </w:r>
      <w:r w:rsidRPr="00CB333D">
        <w:rPr>
          <w:lang w:val="pt-PT"/>
        </w:rPr>
        <w:t>, 2001/80/</w:t>
      </w:r>
      <w:r>
        <w:t>ЕО</w:t>
      </w:r>
      <w:r w:rsidRPr="00CB333D">
        <w:rPr>
          <w:lang w:val="pt-PT"/>
        </w:rPr>
        <w:t>, 2004/35/</w:t>
      </w:r>
      <w:r>
        <w:t>ЕО</w:t>
      </w:r>
      <w:r w:rsidRPr="00CB333D">
        <w:rPr>
          <w:lang w:val="pt-PT"/>
        </w:rPr>
        <w:t>, 2006/12/</w:t>
      </w:r>
      <w:r>
        <w:t>ЕО</w:t>
      </w:r>
      <w:r w:rsidRPr="00CB333D">
        <w:rPr>
          <w:lang w:val="pt-PT"/>
        </w:rPr>
        <w:t xml:space="preserve"> </w:t>
      </w:r>
      <w:r>
        <w:t>и</w:t>
      </w:r>
      <w:r w:rsidRPr="00CB333D">
        <w:rPr>
          <w:lang w:val="pt-PT"/>
        </w:rPr>
        <w:t xml:space="preserve"> 2008/1/</w:t>
      </w:r>
      <w:r>
        <w:t>ЕО</w:t>
      </w:r>
      <w:r w:rsidRPr="00CB333D">
        <w:rPr>
          <w:lang w:val="pt-PT"/>
        </w:rPr>
        <w:t xml:space="preserve">, </w:t>
      </w:r>
      <w:r>
        <w:t>и</w:t>
      </w:r>
      <w:r w:rsidRPr="00CB333D">
        <w:rPr>
          <w:lang w:val="pt-PT"/>
        </w:rPr>
        <w:t xml:space="preserve"> </w:t>
      </w:r>
      <w:r>
        <w:t>Регламент</w:t>
      </w:r>
      <w:r w:rsidRPr="00CB333D">
        <w:rPr>
          <w:lang w:val="pt-PT"/>
        </w:rPr>
        <w:t xml:space="preserve"> (</w:t>
      </w:r>
      <w:r>
        <w:t>ЕО</w:t>
      </w:r>
      <w:r w:rsidRPr="00CB333D">
        <w:rPr>
          <w:lang w:val="pt-PT"/>
        </w:rPr>
        <w:t xml:space="preserve">) № 1013/2006 </w:t>
      </w:r>
      <w:r>
        <w:t>на</w:t>
      </w:r>
      <w:r w:rsidRPr="00CB333D">
        <w:rPr>
          <w:lang w:val="pt-PT"/>
        </w:rPr>
        <w:t xml:space="preserve"> </w:t>
      </w:r>
      <w:r>
        <w:t>Европейския</w:t>
      </w:r>
      <w:r w:rsidRPr="00CB333D">
        <w:rPr>
          <w:lang w:val="pt-PT"/>
        </w:rPr>
        <w:t xml:space="preserve"> </w:t>
      </w:r>
      <w:r>
        <w:t>парламент</w:t>
      </w:r>
      <w:r w:rsidRPr="00CB333D">
        <w:rPr>
          <w:lang w:val="pt-PT"/>
        </w:rPr>
        <w:t xml:space="preserve"> </w:t>
      </w:r>
      <w:r>
        <w:t>и</w:t>
      </w:r>
      <w:r w:rsidRPr="00CB333D">
        <w:rPr>
          <w:lang w:val="pt-PT"/>
        </w:rPr>
        <w:t xml:space="preserve"> </w:t>
      </w:r>
      <w:r>
        <w:t>на</w:t>
      </w:r>
      <w:r w:rsidRPr="00CB333D">
        <w:rPr>
          <w:lang w:val="pt-PT"/>
        </w:rPr>
        <w:t xml:space="preserve"> </w:t>
      </w:r>
      <w:r>
        <w:t>Съвета</w:t>
      </w:r>
      <w:r w:rsidRPr="00CB333D">
        <w:rPr>
          <w:lang w:val="pt-PT"/>
        </w:rPr>
        <w:t>, O</w:t>
      </w:r>
      <w:r>
        <w:t>В</w:t>
      </w:r>
      <w:r w:rsidRPr="00CB333D">
        <w:rPr>
          <w:lang w:val="pt-PT"/>
        </w:rPr>
        <w:t xml:space="preserve"> L 140, 5.6.2009 </w:t>
      </w:r>
      <w:r>
        <w:t>г</w:t>
      </w:r>
      <w:r w:rsidRPr="00CB333D">
        <w:rPr>
          <w:lang w:val="pt-PT"/>
        </w:rPr>
        <w:t xml:space="preserve">., </w:t>
      </w:r>
      <w:r>
        <w:t>стр</w:t>
      </w:r>
      <w:r w:rsidRPr="00CB333D">
        <w:rPr>
          <w:lang w:val="pt-PT"/>
        </w:rPr>
        <w:t>. 114.</w:t>
      </w:r>
    </w:p>
  </w:footnote>
  <w:footnote w:id="23">
    <w:p w:rsidR="00BE3543" w:rsidRPr="00CB333D" w:rsidRDefault="00BE3543" w:rsidP="00EC568F">
      <w:pPr>
        <w:pStyle w:val="FootnoteText"/>
        <w:rPr>
          <w:lang w:val="pt-PT"/>
        </w:rPr>
      </w:pPr>
      <w:r>
        <w:rPr>
          <w:rStyle w:val="FootnoteReference"/>
        </w:rPr>
        <w:footnoteRef/>
      </w:r>
      <w:r w:rsidRPr="00CB333D">
        <w:rPr>
          <w:lang w:val="pt-PT"/>
        </w:rPr>
        <w:tab/>
      </w:r>
      <w:r>
        <w:t>Съобщение</w:t>
      </w:r>
      <w:r w:rsidRPr="00CB333D">
        <w:rPr>
          <w:lang w:val="pt-PT"/>
        </w:rPr>
        <w:t xml:space="preserve"> </w:t>
      </w:r>
      <w:r>
        <w:t>на</w:t>
      </w:r>
      <w:r w:rsidRPr="00CB333D">
        <w:rPr>
          <w:lang w:val="pt-PT"/>
        </w:rPr>
        <w:t xml:space="preserve"> </w:t>
      </w:r>
      <w:r>
        <w:t>Комисията</w:t>
      </w:r>
      <w:r w:rsidRPr="00CB333D">
        <w:rPr>
          <w:lang w:val="pt-PT"/>
        </w:rPr>
        <w:t xml:space="preserve"> </w:t>
      </w:r>
      <w:r>
        <w:t>до</w:t>
      </w:r>
      <w:r w:rsidRPr="00CB333D">
        <w:rPr>
          <w:lang w:val="pt-PT"/>
        </w:rPr>
        <w:t xml:space="preserve"> </w:t>
      </w:r>
      <w:r>
        <w:t>Съвета</w:t>
      </w:r>
      <w:r w:rsidRPr="00CB333D">
        <w:rPr>
          <w:lang w:val="pt-PT"/>
        </w:rPr>
        <w:t xml:space="preserve">, </w:t>
      </w:r>
      <w:r>
        <w:t>Европейския</w:t>
      </w:r>
      <w:r w:rsidRPr="00CB333D">
        <w:rPr>
          <w:lang w:val="pt-PT"/>
        </w:rPr>
        <w:t xml:space="preserve"> </w:t>
      </w:r>
      <w:r>
        <w:t>парламент</w:t>
      </w:r>
      <w:r w:rsidRPr="00CB333D">
        <w:rPr>
          <w:lang w:val="pt-PT"/>
        </w:rPr>
        <w:t xml:space="preserve">, </w:t>
      </w:r>
      <w:r>
        <w:t>Европейския</w:t>
      </w:r>
      <w:r w:rsidRPr="00CB333D">
        <w:rPr>
          <w:lang w:val="pt-PT"/>
        </w:rPr>
        <w:t xml:space="preserve"> </w:t>
      </w:r>
      <w:r>
        <w:t>икономически</w:t>
      </w:r>
      <w:r w:rsidRPr="00CB333D">
        <w:rPr>
          <w:lang w:val="pt-PT"/>
        </w:rPr>
        <w:t xml:space="preserve"> </w:t>
      </w:r>
      <w:r>
        <w:t>и</w:t>
      </w:r>
      <w:r w:rsidRPr="00CB333D">
        <w:rPr>
          <w:lang w:val="pt-PT"/>
        </w:rPr>
        <w:t xml:space="preserve"> </w:t>
      </w:r>
      <w:r>
        <w:t>социален</w:t>
      </w:r>
      <w:r w:rsidRPr="00CB333D">
        <w:rPr>
          <w:lang w:val="pt-PT"/>
        </w:rPr>
        <w:t xml:space="preserve"> </w:t>
      </w:r>
      <w:r>
        <w:t>комитет</w:t>
      </w:r>
      <w:r w:rsidRPr="00CB333D">
        <w:rPr>
          <w:lang w:val="pt-PT"/>
        </w:rPr>
        <w:t xml:space="preserve"> </w:t>
      </w:r>
      <w:r>
        <w:t>и</w:t>
      </w:r>
      <w:r w:rsidRPr="00CB333D">
        <w:rPr>
          <w:lang w:val="pt-PT"/>
        </w:rPr>
        <w:t xml:space="preserve"> </w:t>
      </w:r>
      <w:r>
        <w:t>Комитета</w:t>
      </w:r>
      <w:r w:rsidRPr="00CB333D">
        <w:rPr>
          <w:lang w:val="pt-PT"/>
        </w:rPr>
        <w:t xml:space="preserve"> </w:t>
      </w:r>
      <w:r>
        <w:t>на</w:t>
      </w:r>
      <w:r w:rsidRPr="00CB333D">
        <w:rPr>
          <w:lang w:val="pt-PT"/>
        </w:rPr>
        <w:t xml:space="preserve"> </w:t>
      </w:r>
      <w:r>
        <w:t>регионите</w:t>
      </w:r>
      <w:r w:rsidRPr="00CB333D">
        <w:rPr>
          <w:lang w:val="pt-PT"/>
        </w:rPr>
        <w:t xml:space="preserve"> „</w:t>
      </w:r>
      <w:r>
        <w:t>Програмата</w:t>
      </w:r>
      <w:r w:rsidRPr="00CB333D">
        <w:rPr>
          <w:lang w:val="pt-PT"/>
        </w:rPr>
        <w:t xml:space="preserve"> </w:t>
      </w:r>
      <w:r>
        <w:t>в</w:t>
      </w:r>
      <w:r w:rsidRPr="00CB333D">
        <w:rPr>
          <w:lang w:val="pt-PT"/>
        </w:rPr>
        <w:t xml:space="preserve"> </w:t>
      </w:r>
      <w:r>
        <w:t>областта</w:t>
      </w:r>
      <w:r w:rsidRPr="00CB333D">
        <w:rPr>
          <w:lang w:val="pt-PT"/>
        </w:rPr>
        <w:t xml:space="preserve"> </w:t>
      </w:r>
      <w:r>
        <w:t>на</w:t>
      </w:r>
      <w:r w:rsidRPr="00CB333D">
        <w:rPr>
          <w:lang w:val="pt-PT"/>
        </w:rPr>
        <w:t xml:space="preserve"> </w:t>
      </w:r>
      <w:r>
        <w:t>цифровите</w:t>
      </w:r>
      <w:r w:rsidRPr="00CB333D">
        <w:rPr>
          <w:lang w:val="pt-PT"/>
        </w:rPr>
        <w:t xml:space="preserve"> </w:t>
      </w:r>
      <w:r>
        <w:t>технологии</w:t>
      </w:r>
      <w:r w:rsidRPr="00CB333D">
        <w:rPr>
          <w:lang w:val="pt-PT"/>
        </w:rPr>
        <w:t xml:space="preserve"> </w:t>
      </w:r>
      <w:r>
        <w:t>за</w:t>
      </w:r>
      <w:r w:rsidRPr="00CB333D">
        <w:rPr>
          <w:lang w:val="pt-PT"/>
        </w:rPr>
        <w:t xml:space="preserve"> </w:t>
      </w:r>
      <w:r>
        <w:t>Европа</w:t>
      </w:r>
      <w:r w:rsidRPr="00CB333D">
        <w:rPr>
          <w:lang w:val="pt-PT"/>
        </w:rPr>
        <w:t xml:space="preserve">“, (COM(2010) 245 </w:t>
      </w:r>
      <w:r>
        <w:t>окончателен</w:t>
      </w:r>
      <w:r w:rsidRPr="00CB333D">
        <w:rPr>
          <w:lang w:val="pt-PT"/>
        </w:rPr>
        <w:t>.</w:t>
      </w:r>
    </w:p>
  </w:footnote>
  <w:footnote w:id="24">
    <w:p w:rsidR="00B243FF" w:rsidRPr="00CB333D" w:rsidRDefault="00B243FF">
      <w:pPr>
        <w:pStyle w:val="FootnoteText"/>
        <w:rPr>
          <w:lang w:val="pt-PT"/>
        </w:rPr>
      </w:pPr>
      <w:r>
        <w:rPr>
          <w:rStyle w:val="FootnoteReference"/>
        </w:rPr>
        <w:footnoteRef/>
      </w:r>
      <w:r w:rsidRPr="00CB333D">
        <w:rPr>
          <w:lang w:val="pt-PT"/>
        </w:rPr>
        <w:tab/>
      </w:r>
      <w:r>
        <w:t>ОВ</w:t>
      </w:r>
      <w:r w:rsidRPr="00CB333D">
        <w:rPr>
          <w:lang w:val="pt-PT"/>
        </w:rPr>
        <w:t xml:space="preserve"> C 332, 15.11.2013 </w:t>
      </w:r>
      <w:r>
        <w:t>г</w:t>
      </w:r>
      <w:r w:rsidRPr="00CB333D">
        <w:rPr>
          <w:lang w:val="pt-PT"/>
        </w:rPr>
        <w:t xml:space="preserve">,, </w:t>
      </w:r>
      <w:r>
        <w:t>стр</w:t>
      </w:r>
      <w:r w:rsidRPr="00CB333D">
        <w:rPr>
          <w:lang w:val="pt-PT"/>
        </w:rPr>
        <w:t>. 1—</w:t>
      </w:r>
      <w:proofErr w:type="gramStart"/>
      <w:r w:rsidRPr="00CB333D">
        <w:rPr>
          <w:lang w:val="pt-PT"/>
        </w:rPr>
        <w:t>11.</w:t>
      </w:r>
      <w:proofErr w:type="gramEnd"/>
    </w:p>
  </w:footnote>
  <w:footnote w:id="25">
    <w:p w:rsidR="00BE3543" w:rsidRPr="00CB333D" w:rsidRDefault="00BE3543">
      <w:pPr>
        <w:pStyle w:val="FootnoteText"/>
        <w:rPr>
          <w:lang w:val="pt-PT"/>
        </w:rPr>
      </w:pPr>
      <w:r>
        <w:rPr>
          <w:rStyle w:val="FootnoteReference"/>
        </w:rPr>
        <w:footnoteRef/>
      </w:r>
      <w:r w:rsidRPr="00CB333D">
        <w:rPr>
          <w:lang w:val="pt-PT"/>
        </w:rPr>
        <w:tab/>
      </w:r>
      <w:r>
        <w:t>Въз</w:t>
      </w:r>
      <w:r w:rsidRPr="00CB333D">
        <w:rPr>
          <w:lang w:val="pt-PT"/>
        </w:rPr>
        <w:t xml:space="preserve"> </w:t>
      </w:r>
      <w:r>
        <w:t>основа</w:t>
      </w:r>
      <w:r w:rsidRPr="00CB333D">
        <w:rPr>
          <w:lang w:val="pt-PT"/>
        </w:rPr>
        <w:t xml:space="preserve"> </w:t>
      </w:r>
      <w:r>
        <w:t>на</w:t>
      </w:r>
      <w:r w:rsidRPr="00CB333D">
        <w:rPr>
          <w:lang w:val="pt-PT"/>
        </w:rPr>
        <w:t xml:space="preserve"> </w:t>
      </w:r>
      <w:r>
        <w:t>годишните</w:t>
      </w:r>
      <w:r w:rsidRPr="00CB333D">
        <w:rPr>
          <w:lang w:val="pt-PT"/>
        </w:rPr>
        <w:t xml:space="preserve"> </w:t>
      </w:r>
      <w:r>
        <w:t>данни</w:t>
      </w:r>
      <w:r w:rsidRPr="00CB333D">
        <w:rPr>
          <w:lang w:val="pt-PT"/>
        </w:rPr>
        <w:t xml:space="preserve"> </w:t>
      </w:r>
      <w:r>
        <w:t>на</w:t>
      </w:r>
      <w:r w:rsidRPr="00CB333D">
        <w:rPr>
          <w:lang w:val="pt-PT"/>
        </w:rPr>
        <w:t xml:space="preserve"> </w:t>
      </w:r>
      <w:r>
        <w:t>Евростат</w:t>
      </w:r>
      <w:r w:rsidRPr="00CB333D">
        <w:rPr>
          <w:lang w:val="pt-PT"/>
        </w:rPr>
        <w:t xml:space="preserve"> </w:t>
      </w:r>
      <w:r>
        <w:t>относно</w:t>
      </w:r>
      <w:r w:rsidRPr="00CB333D">
        <w:rPr>
          <w:lang w:val="pt-PT"/>
        </w:rPr>
        <w:t xml:space="preserve"> </w:t>
      </w:r>
      <w:r>
        <w:t>националния</w:t>
      </w:r>
      <w:r w:rsidRPr="00CB333D">
        <w:rPr>
          <w:lang w:val="pt-PT"/>
        </w:rPr>
        <w:t xml:space="preserve"> </w:t>
      </w:r>
      <w:r>
        <w:t>БВП</w:t>
      </w:r>
      <w:r w:rsidRPr="00CB333D">
        <w:rPr>
          <w:lang w:val="pt-PT"/>
        </w:rPr>
        <w:t xml:space="preserve">, </w:t>
      </w:r>
      <w:r>
        <w:t>изразен</w:t>
      </w:r>
      <w:r w:rsidRPr="00CB333D">
        <w:rPr>
          <w:lang w:val="pt-PT"/>
        </w:rPr>
        <w:t xml:space="preserve"> </w:t>
      </w:r>
      <w:r>
        <w:t>в</w:t>
      </w:r>
      <w:r w:rsidRPr="00CB333D">
        <w:rPr>
          <w:lang w:val="pt-PT"/>
        </w:rPr>
        <w:t xml:space="preserve"> </w:t>
      </w:r>
      <w:r>
        <w:t>стандарти</w:t>
      </w:r>
      <w:r w:rsidRPr="00CB333D">
        <w:rPr>
          <w:lang w:val="pt-PT"/>
        </w:rPr>
        <w:t xml:space="preserve"> </w:t>
      </w:r>
      <w:r>
        <w:t>на</w:t>
      </w:r>
      <w:r w:rsidRPr="00CB333D">
        <w:rPr>
          <w:lang w:val="pt-PT"/>
        </w:rPr>
        <w:t xml:space="preserve"> </w:t>
      </w:r>
      <w:r>
        <w:t>покупателната</w:t>
      </w:r>
      <w:r w:rsidRPr="00CB333D">
        <w:rPr>
          <w:lang w:val="pt-PT"/>
        </w:rPr>
        <w:t xml:space="preserve"> </w:t>
      </w:r>
      <w:r>
        <w:t>способност</w:t>
      </w:r>
      <w:r w:rsidRPr="00CB333D">
        <w:rPr>
          <w:lang w:val="pt-PT"/>
        </w:rPr>
        <w:t xml:space="preserve"> (</w:t>
      </w:r>
      <w:r>
        <w:t>СПС</w:t>
      </w:r>
      <w:r w:rsidRPr="00CB333D">
        <w:rPr>
          <w:lang w:val="pt-PT"/>
        </w:rPr>
        <w:t xml:space="preserve">) </w:t>
      </w:r>
      <w:r>
        <w:t>за</w:t>
      </w:r>
      <w:r w:rsidRPr="00CB333D">
        <w:rPr>
          <w:lang w:val="pt-PT"/>
        </w:rPr>
        <w:t xml:space="preserve"> </w:t>
      </w:r>
      <w:r>
        <w:t>втората</w:t>
      </w:r>
      <w:r w:rsidRPr="00CB333D">
        <w:rPr>
          <w:lang w:val="pt-PT"/>
        </w:rPr>
        <w:t xml:space="preserve"> </w:t>
      </w:r>
      <w:r>
        <w:t>календарна</w:t>
      </w:r>
      <w:r w:rsidRPr="00CB333D">
        <w:rPr>
          <w:lang w:val="pt-PT"/>
        </w:rPr>
        <w:t xml:space="preserve"> </w:t>
      </w:r>
      <w:r>
        <w:t>година</w:t>
      </w:r>
      <w:r w:rsidRPr="00CB333D">
        <w:rPr>
          <w:lang w:val="pt-PT"/>
        </w:rPr>
        <w:t xml:space="preserve"> </w:t>
      </w:r>
      <w:r>
        <w:t>преди</w:t>
      </w:r>
      <w:r w:rsidRPr="00CB333D">
        <w:rPr>
          <w:lang w:val="pt-PT"/>
        </w:rPr>
        <w:t xml:space="preserve"> </w:t>
      </w:r>
      <w:r>
        <w:t>въпросната</w:t>
      </w:r>
      <w:r w:rsidRPr="00CB333D">
        <w:rPr>
          <w:lang w:val="pt-PT"/>
        </w:rPr>
        <w:t xml:space="preserve"> </w:t>
      </w:r>
      <w:r>
        <w:t>календарна</w:t>
      </w:r>
      <w:r w:rsidRPr="00CB333D">
        <w:rPr>
          <w:lang w:val="pt-PT"/>
        </w:rPr>
        <w:t xml:space="preserve"> </w:t>
      </w:r>
      <w:r>
        <w:t>година</w:t>
      </w:r>
      <w:r w:rsidRPr="00CB333D">
        <w:rPr>
          <w:lang w:val="pt-PT"/>
        </w:rPr>
        <w:t>.</w:t>
      </w:r>
    </w:p>
  </w:footnote>
  <w:footnote w:id="26">
    <w:p w:rsidR="00BE3543" w:rsidRPr="00CB333D" w:rsidRDefault="00BE3543" w:rsidP="0093402F">
      <w:pPr>
        <w:pStyle w:val="FootnoteText"/>
        <w:rPr>
          <w:lang w:val="pt-PT"/>
        </w:rPr>
      </w:pPr>
      <w:r>
        <w:rPr>
          <w:rStyle w:val="FootnoteReference"/>
        </w:rPr>
        <w:footnoteRef/>
      </w:r>
      <w:r w:rsidRPr="00CB333D">
        <w:rPr>
          <w:lang w:val="pt-PT"/>
        </w:rPr>
        <w:tab/>
      </w:r>
      <w:r>
        <w:t>ОВ</w:t>
      </w:r>
      <w:r w:rsidRPr="00CB333D">
        <w:rPr>
          <w:lang w:val="pt-PT"/>
        </w:rPr>
        <w:t xml:space="preserve"> C 82, 21.1.2000 </w:t>
      </w:r>
      <w:r>
        <w:t>г</w:t>
      </w:r>
      <w:r w:rsidRPr="00CB333D">
        <w:rPr>
          <w:lang w:val="pt-PT"/>
        </w:rPr>
        <w:t xml:space="preserve">., </w:t>
      </w:r>
      <w:r>
        <w:t>стр</w:t>
      </w:r>
      <w:r w:rsidRPr="00CB333D">
        <w:rPr>
          <w:lang w:val="pt-PT"/>
        </w:rPr>
        <w:t>. 22.</w:t>
      </w:r>
    </w:p>
  </w:footnote>
  <w:footnote w:id="27">
    <w:p w:rsidR="00BE3543" w:rsidRPr="00CB333D" w:rsidRDefault="00BE3543" w:rsidP="0093402F">
      <w:pPr>
        <w:pStyle w:val="FootnoteText"/>
        <w:rPr>
          <w:lang w:val="pt-PT"/>
        </w:rPr>
      </w:pPr>
      <w:r>
        <w:rPr>
          <w:rStyle w:val="FootnoteReference"/>
        </w:rPr>
        <w:footnoteRef/>
      </w:r>
      <w:r w:rsidRPr="00CB333D">
        <w:rPr>
          <w:lang w:val="pt-PT"/>
        </w:rPr>
        <w:tab/>
      </w:r>
      <w:r>
        <w:t>ОВ</w:t>
      </w:r>
      <w:r w:rsidRPr="00CB333D">
        <w:rPr>
          <w:lang w:val="pt-PT"/>
        </w:rPr>
        <w:t xml:space="preserve"> L 336, 21.12.2010, </w:t>
      </w:r>
      <w:r>
        <w:t>стр</w:t>
      </w:r>
      <w:r w:rsidRPr="00CB333D">
        <w:rPr>
          <w:lang w:val="pt-PT"/>
        </w:rPr>
        <w:t>. 24.</w:t>
      </w:r>
    </w:p>
  </w:footnote>
  <w:footnote w:id="28">
    <w:p w:rsidR="00BE3543" w:rsidRPr="00CB333D" w:rsidRDefault="00BE3543" w:rsidP="0093402F">
      <w:pPr>
        <w:pStyle w:val="FootnoteText"/>
        <w:rPr>
          <w:lang w:val="pt-PT"/>
        </w:rPr>
      </w:pPr>
      <w:r>
        <w:rPr>
          <w:rStyle w:val="FootnoteReference"/>
        </w:rPr>
        <w:footnoteRef/>
      </w:r>
      <w:r w:rsidRPr="00CB333D">
        <w:rPr>
          <w:lang w:val="pt-PT"/>
        </w:rPr>
        <w:tab/>
      </w:r>
      <w:r>
        <w:t>Регламент</w:t>
      </w:r>
      <w:r w:rsidRPr="00CB333D">
        <w:rPr>
          <w:lang w:val="pt-PT"/>
        </w:rPr>
        <w:t xml:space="preserve"> (</w:t>
      </w:r>
      <w:r>
        <w:t>ЕО</w:t>
      </w:r>
      <w:r w:rsidRPr="00CB333D">
        <w:rPr>
          <w:lang w:val="pt-PT"/>
        </w:rPr>
        <w:t xml:space="preserve">) № 794/2004 </w:t>
      </w:r>
      <w:r>
        <w:t>на</w:t>
      </w:r>
      <w:r w:rsidRPr="00CB333D">
        <w:rPr>
          <w:lang w:val="pt-PT"/>
        </w:rPr>
        <w:t xml:space="preserve"> </w:t>
      </w:r>
      <w:r>
        <w:t>Комисията</w:t>
      </w:r>
      <w:r w:rsidRPr="00CB333D">
        <w:rPr>
          <w:lang w:val="pt-PT"/>
        </w:rPr>
        <w:t xml:space="preserve"> </w:t>
      </w:r>
      <w:r>
        <w:t>от</w:t>
      </w:r>
      <w:r w:rsidRPr="00CB333D">
        <w:rPr>
          <w:lang w:val="pt-PT"/>
        </w:rPr>
        <w:t xml:space="preserve"> 21 </w:t>
      </w:r>
      <w:r>
        <w:t>април</w:t>
      </w:r>
      <w:r w:rsidRPr="00CB333D">
        <w:rPr>
          <w:lang w:val="pt-PT"/>
        </w:rPr>
        <w:t xml:space="preserve"> 2004 </w:t>
      </w:r>
      <w:r>
        <w:t>г</w:t>
      </w:r>
      <w:r w:rsidRPr="00CB333D">
        <w:rPr>
          <w:lang w:val="pt-PT"/>
        </w:rPr>
        <w:t xml:space="preserve">. </w:t>
      </w:r>
      <w:r>
        <w:t>за</w:t>
      </w:r>
      <w:r w:rsidRPr="00CB333D">
        <w:rPr>
          <w:lang w:val="pt-PT"/>
        </w:rPr>
        <w:t xml:space="preserve"> </w:t>
      </w:r>
      <w:r>
        <w:t>прилагането</w:t>
      </w:r>
      <w:r w:rsidRPr="00CB333D">
        <w:rPr>
          <w:lang w:val="pt-PT"/>
        </w:rPr>
        <w:t xml:space="preserve"> </w:t>
      </w:r>
      <w:r>
        <w:t>от</w:t>
      </w:r>
      <w:r w:rsidRPr="00CB333D">
        <w:rPr>
          <w:lang w:val="pt-PT"/>
        </w:rPr>
        <w:t xml:space="preserve"> </w:t>
      </w:r>
      <w:r>
        <w:t>Регламент</w:t>
      </w:r>
      <w:r w:rsidRPr="00CB333D">
        <w:rPr>
          <w:lang w:val="pt-PT"/>
        </w:rPr>
        <w:t xml:space="preserve"> (</w:t>
      </w:r>
      <w:r>
        <w:t>ЕО</w:t>
      </w:r>
      <w:r w:rsidRPr="00CB333D">
        <w:rPr>
          <w:lang w:val="pt-PT"/>
        </w:rPr>
        <w:t xml:space="preserve">) № 659/1999 </w:t>
      </w:r>
      <w:r>
        <w:t>на</w:t>
      </w:r>
      <w:r w:rsidRPr="00CB333D">
        <w:rPr>
          <w:lang w:val="pt-PT"/>
        </w:rPr>
        <w:t xml:space="preserve"> </w:t>
      </w:r>
      <w:r>
        <w:t>Съвета</w:t>
      </w:r>
      <w:r w:rsidRPr="00CB333D">
        <w:rPr>
          <w:lang w:val="pt-PT"/>
        </w:rPr>
        <w:t xml:space="preserve"> </w:t>
      </w:r>
      <w:r>
        <w:t>относно</w:t>
      </w:r>
      <w:r w:rsidRPr="00CB333D">
        <w:rPr>
          <w:lang w:val="pt-PT"/>
        </w:rPr>
        <w:t xml:space="preserve"> </w:t>
      </w:r>
      <w:r>
        <w:t>определянето</w:t>
      </w:r>
      <w:r w:rsidRPr="00CB333D">
        <w:rPr>
          <w:lang w:val="pt-PT"/>
        </w:rPr>
        <w:t xml:space="preserve"> </w:t>
      </w:r>
      <w:r>
        <w:t>на</w:t>
      </w:r>
      <w:r w:rsidRPr="00CB333D">
        <w:rPr>
          <w:lang w:val="pt-PT"/>
        </w:rPr>
        <w:t xml:space="preserve"> </w:t>
      </w:r>
      <w:r>
        <w:t>подробни</w:t>
      </w:r>
      <w:r w:rsidRPr="00CB333D">
        <w:rPr>
          <w:lang w:val="pt-PT"/>
        </w:rPr>
        <w:t xml:space="preserve"> </w:t>
      </w:r>
      <w:r>
        <w:t>правила</w:t>
      </w:r>
      <w:r w:rsidRPr="00CB333D">
        <w:rPr>
          <w:lang w:val="pt-PT"/>
        </w:rPr>
        <w:t xml:space="preserve"> </w:t>
      </w:r>
      <w:r>
        <w:t>за</w:t>
      </w:r>
      <w:r w:rsidRPr="00CB333D">
        <w:rPr>
          <w:lang w:val="pt-PT"/>
        </w:rPr>
        <w:t xml:space="preserve"> </w:t>
      </w:r>
      <w:r>
        <w:t>прилагането</w:t>
      </w:r>
      <w:r w:rsidRPr="00CB333D">
        <w:rPr>
          <w:lang w:val="pt-PT"/>
        </w:rPr>
        <w:t xml:space="preserve"> </w:t>
      </w:r>
      <w:r>
        <w:t>на</w:t>
      </w:r>
      <w:r w:rsidRPr="00CB333D">
        <w:rPr>
          <w:lang w:val="pt-PT"/>
        </w:rPr>
        <w:t xml:space="preserve"> </w:t>
      </w:r>
      <w:r>
        <w:t>член</w:t>
      </w:r>
      <w:r w:rsidRPr="00CB333D">
        <w:rPr>
          <w:lang w:val="pt-PT"/>
        </w:rPr>
        <w:t xml:space="preserve"> 93 </w:t>
      </w:r>
      <w:r>
        <w:t>от</w:t>
      </w:r>
      <w:r w:rsidRPr="00CB333D">
        <w:rPr>
          <w:lang w:val="pt-PT"/>
        </w:rPr>
        <w:t xml:space="preserve"> </w:t>
      </w:r>
      <w:r>
        <w:t>Договора</w:t>
      </w:r>
      <w:r w:rsidRPr="00CB333D">
        <w:rPr>
          <w:lang w:val="pt-PT"/>
        </w:rPr>
        <w:t xml:space="preserve"> </w:t>
      </w:r>
      <w:r>
        <w:t>за</w:t>
      </w:r>
      <w:r w:rsidRPr="00CB333D">
        <w:rPr>
          <w:lang w:val="pt-PT"/>
        </w:rPr>
        <w:t xml:space="preserve"> </w:t>
      </w:r>
      <w:r>
        <w:t>създаване</w:t>
      </w:r>
      <w:r w:rsidRPr="00CB333D">
        <w:rPr>
          <w:lang w:val="pt-PT"/>
        </w:rPr>
        <w:t xml:space="preserve"> </w:t>
      </w:r>
      <w:r>
        <w:t>на</w:t>
      </w:r>
      <w:r w:rsidRPr="00CB333D">
        <w:rPr>
          <w:lang w:val="pt-PT"/>
        </w:rPr>
        <w:t xml:space="preserve"> </w:t>
      </w:r>
      <w:r>
        <w:t>Европейската</w:t>
      </w:r>
      <w:r w:rsidRPr="00CB333D">
        <w:rPr>
          <w:lang w:val="pt-PT"/>
        </w:rPr>
        <w:t xml:space="preserve"> </w:t>
      </w:r>
      <w:r>
        <w:t>общност</w:t>
      </w:r>
      <w:r w:rsidRPr="00CB333D">
        <w:rPr>
          <w:lang w:val="pt-PT"/>
        </w:rPr>
        <w:t xml:space="preserve">, </w:t>
      </w:r>
      <w:r>
        <w:t>член</w:t>
      </w:r>
      <w:r w:rsidRPr="00CB333D">
        <w:rPr>
          <w:lang w:val="pt-PT"/>
        </w:rPr>
        <w:t xml:space="preserve"> 3, </w:t>
      </w:r>
      <w:r>
        <w:t>параграф</w:t>
      </w:r>
      <w:r w:rsidRPr="00CB333D">
        <w:rPr>
          <w:lang w:val="pt-PT"/>
        </w:rPr>
        <w:t xml:space="preserve"> 4, </w:t>
      </w:r>
      <w:r>
        <w:t>ОВ</w:t>
      </w:r>
      <w:r w:rsidRPr="00CB333D">
        <w:rPr>
          <w:lang w:val="pt-PT"/>
        </w:rPr>
        <w:t xml:space="preserve"> L 140, 30.4.2004 </w:t>
      </w:r>
      <w:r>
        <w:t>г</w:t>
      </w:r>
      <w:r w:rsidRPr="00CB333D">
        <w:rPr>
          <w:lang w:val="pt-PT"/>
        </w:rPr>
        <w:t xml:space="preserve">., </w:t>
      </w:r>
      <w:r>
        <w:t>стр</w:t>
      </w:r>
      <w:r w:rsidRPr="00CB333D">
        <w:rPr>
          <w:lang w:val="pt-PT"/>
        </w:rPr>
        <w:t>.1.</w:t>
      </w:r>
    </w:p>
  </w:footnote>
  <w:footnote w:id="29">
    <w:p w:rsidR="00BE3543" w:rsidRPr="00CB333D" w:rsidRDefault="00BE3543" w:rsidP="0093402F">
      <w:pPr>
        <w:pStyle w:val="FootnoteText"/>
        <w:rPr>
          <w:lang w:val="pt-PT"/>
        </w:rPr>
      </w:pPr>
      <w:r>
        <w:rPr>
          <w:rStyle w:val="FootnoteReference"/>
        </w:rPr>
        <w:footnoteRef/>
      </w:r>
      <w:r w:rsidRPr="00CB333D">
        <w:rPr>
          <w:lang w:val="pt-PT"/>
        </w:rPr>
        <w:tab/>
        <w:t>O</w:t>
      </w:r>
      <w:r>
        <w:t>В</w:t>
      </w:r>
      <w:r w:rsidRPr="00CB333D">
        <w:rPr>
          <w:lang w:val="pt-PT"/>
        </w:rPr>
        <w:t xml:space="preserve"> L 140, 3.4.2004 </w:t>
      </w:r>
      <w:r>
        <w:t>г</w:t>
      </w:r>
      <w:r w:rsidRPr="00CB333D">
        <w:rPr>
          <w:lang w:val="pt-PT"/>
        </w:rPr>
        <w:t xml:space="preserve">., </w:t>
      </w:r>
      <w:r>
        <w:t>стр</w:t>
      </w:r>
      <w:r w:rsidRPr="00CB333D">
        <w:rPr>
          <w:lang w:val="pt-PT"/>
        </w:rPr>
        <w:t>. 1.</w:t>
      </w:r>
    </w:p>
  </w:footnote>
  <w:footnote w:id="30">
    <w:p w:rsidR="00BE3543" w:rsidRPr="00CB333D" w:rsidRDefault="00BE3543" w:rsidP="001E5BD3">
      <w:pPr>
        <w:pStyle w:val="FootnoteText"/>
        <w:rPr>
          <w:lang w:val="pt-PT"/>
        </w:rPr>
      </w:pPr>
      <w:r>
        <w:rPr>
          <w:rStyle w:val="FootnoteReference"/>
        </w:rPr>
        <w:footnoteRef/>
      </w:r>
      <w:r w:rsidRPr="00CB333D">
        <w:rPr>
          <w:lang w:val="pt-PT"/>
        </w:rPr>
        <w:tab/>
      </w:r>
      <w:r>
        <w:t>Регламент</w:t>
      </w:r>
      <w:r w:rsidRPr="00CB333D">
        <w:rPr>
          <w:lang w:val="pt-PT"/>
        </w:rPr>
        <w:t xml:space="preserve"> (</w:t>
      </w:r>
      <w:r>
        <w:t>ЕО</w:t>
      </w:r>
      <w:r w:rsidRPr="00CB333D">
        <w:rPr>
          <w:lang w:val="pt-PT"/>
        </w:rPr>
        <w:t xml:space="preserve">) № 1893/2006 </w:t>
      </w:r>
      <w:r>
        <w:t>на</w:t>
      </w:r>
      <w:r w:rsidRPr="00CB333D">
        <w:rPr>
          <w:lang w:val="pt-PT"/>
        </w:rPr>
        <w:t xml:space="preserve"> </w:t>
      </w:r>
      <w:r>
        <w:t>Европейския</w:t>
      </w:r>
      <w:r w:rsidRPr="00CB333D">
        <w:rPr>
          <w:lang w:val="pt-PT"/>
        </w:rPr>
        <w:t xml:space="preserve"> </w:t>
      </w:r>
      <w:r>
        <w:t>парламент</w:t>
      </w:r>
      <w:r w:rsidRPr="00CB333D">
        <w:rPr>
          <w:lang w:val="pt-PT"/>
        </w:rPr>
        <w:t xml:space="preserve"> </w:t>
      </w:r>
      <w:r>
        <w:t>и</w:t>
      </w:r>
      <w:r w:rsidRPr="00CB333D">
        <w:rPr>
          <w:lang w:val="pt-PT"/>
        </w:rPr>
        <w:t xml:space="preserve"> </w:t>
      </w:r>
      <w:r>
        <w:t>на</w:t>
      </w:r>
      <w:r w:rsidRPr="00CB333D">
        <w:rPr>
          <w:lang w:val="pt-PT"/>
        </w:rPr>
        <w:t xml:space="preserve"> </w:t>
      </w:r>
      <w:r>
        <w:t>Съвета</w:t>
      </w:r>
      <w:r w:rsidRPr="00CB333D">
        <w:rPr>
          <w:lang w:val="pt-PT"/>
        </w:rPr>
        <w:t xml:space="preserve"> </w:t>
      </w:r>
      <w:r>
        <w:t>от</w:t>
      </w:r>
      <w:r w:rsidRPr="00CB333D">
        <w:rPr>
          <w:lang w:val="pt-PT"/>
        </w:rPr>
        <w:t xml:space="preserve"> 20 </w:t>
      </w:r>
      <w:r>
        <w:t>декември</w:t>
      </w:r>
      <w:r w:rsidRPr="00CB333D">
        <w:rPr>
          <w:lang w:val="pt-PT"/>
        </w:rPr>
        <w:t xml:space="preserve"> 2006 </w:t>
      </w:r>
      <w:r>
        <w:t>г</w:t>
      </w:r>
      <w:r w:rsidRPr="00CB333D">
        <w:rPr>
          <w:lang w:val="pt-PT"/>
        </w:rPr>
        <w:t xml:space="preserve">. </w:t>
      </w:r>
      <w:r>
        <w:t>за</w:t>
      </w:r>
      <w:r w:rsidRPr="00CB333D">
        <w:rPr>
          <w:lang w:val="pt-PT"/>
        </w:rPr>
        <w:t xml:space="preserve"> </w:t>
      </w:r>
      <w:r>
        <w:t>установяване</w:t>
      </w:r>
      <w:r w:rsidRPr="00CB333D">
        <w:rPr>
          <w:lang w:val="pt-PT"/>
        </w:rPr>
        <w:t xml:space="preserve"> </w:t>
      </w:r>
      <w:r>
        <w:t>на</w:t>
      </w:r>
      <w:r w:rsidRPr="00CB333D">
        <w:rPr>
          <w:lang w:val="pt-PT"/>
        </w:rPr>
        <w:t xml:space="preserve"> </w:t>
      </w:r>
      <w:r>
        <w:t>статистическа</w:t>
      </w:r>
      <w:r w:rsidRPr="00CB333D">
        <w:rPr>
          <w:lang w:val="pt-PT"/>
        </w:rPr>
        <w:t xml:space="preserve"> </w:t>
      </w:r>
      <w:r>
        <w:t>класификация</w:t>
      </w:r>
      <w:r w:rsidRPr="00CB333D">
        <w:rPr>
          <w:lang w:val="pt-PT"/>
        </w:rPr>
        <w:t xml:space="preserve"> </w:t>
      </w:r>
      <w:r>
        <w:t>на</w:t>
      </w:r>
      <w:r w:rsidRPr="00CB333D">
        <w:rPr>
          <w:lang w:val="pt-PT"/>
        </w:rPr>
        <w:t xml:space="preserve"> </w:t>
      </w:r>
      <w:r>
        <w:t>икономическите</w:t>
      </w:r>
      <w:r w:rsidRPr="00CB333D">
        <w:rPr>
          <w:lang w:val="pt-PT"/>
        </w:rPr>
        <w:t xml:space="preserve"> </w:t>
      </w:r>
      <w:r>
        <w:t>дейности</w:t>
      </w:r>
      <w:r w:rsidRPr="00CB333D">
        <w:rPr>
          <w:lang w:val="pt-PT"/>
        </w:rPr>
        <w:t xml:space="preserve"> NACE Rev. 2 </w:t>
      </w:r>
      <w:r>
        <w:t>и</w:t>
      </w:r>
      <w:r w:rsidRPr="00CB333D">
        <w:rPr>
          <w:lang w:val="pt-PT"/>
        </w:rPr>
        <w:t xml:space="preserve"> </w:t>
      </w:r>
      <w:r>
        <w:t>за</w:t>
      </w:r>
      <w:r w:rsidRPr="00CB333D">
        <w:rPr>
          <w:lang w:val="pt-PT"/>
        </w:rPr>
        <w:t xml:space="preserve"> </w:t>
      </w:r>
      <w:r>
        <w:t>изменение</w:t>
      </w:r>
      <w:r w:rsidRPr="00CB333D">
        <w:rPr>
          <w:lang w:val="pt-PT"/>
        </w:rPr>
        <w:t xml:space="preserve"> </w:t>
      </w:r>
      <w:r>
        <w:t>на</w:t>
      </w:r>
      <w:r w:rsidRPr="00CB333D">
        <w:rPr>
          <w:lang w:val="pt-PT"/>
        </w:rPr>
        <w:t xml:space="preserve"> </w:t>
      </w:r>
      <w:r>
        <w:t>Регламент</w:t>
      </w:r>
      <w:r w:rsidRPr="00CB333D">
        <w:rPr>
          <w:lang w:val="pt-PT"/>
        </w:rPr>
        <w:t xml:space="preserve"> (</w:t>
      </w:r>
      <w:r>
        <w:t>ЕИО</w:t>
      </w:r>
      <w:r w:rsidRPr="00CB333D">
        <w:rPr>
          <w:lang w:val="pt-PT"/>
        </w:rPr>
        <w:t xml:space="preserve">) № 3037/90 </w:t>
      </w:r>
      <w:r>
        <w:t>на</w:t>
      </w:r>
      <w:r w:rsidRPr="00CB333D">
        <w:rPr>
          <w:lang w:val="pt-PT"/>
        </w:rPr>
        <w:t xml:space="preserve"> </w:t>
      </w:r>
      <w:r>
        <w:t>Съвета</w:t>
      </w:r>
      <w:r w:rsidRPr="00CB333D">
        <w:rPr>
          <w:lang w:val="pt-PT"/>
        </w:rPr>
        <w:t xml:space="preserve">, </w:t>
      </w:r>
      <w:r>
        <w:t>както</w:t>
      </w:r>
      <w:r w:rsidRPr="00CB333D">
        <w:rPr>
          <w:lang w:val="pt-PT"/>
        </w:rPr>
        <w:t xml:space="preserve"> </w:t>
      </w:r>
      <w:r>
        <w:t>и</w:t>
      </w:r>
      <w:r w:rsidRPr="00CB333D">
        <w:rPr>
          <w:lang w:val="pt-PT"/>
        </w:rPr>
        <w:t xml:space="preserve"> </w:t>
      </w:r>
      <w:r>
        <w:t>на</w:t>
      </w:r>
      <w:r w:rsidRPr="00CB333D">
        <w:rPr>
          <w:lang w:val="pt-PT"/>
        </w:rPr>
        <w:t xml:space="preserve"> </w:t>
      </w:r>
      <w:r>
        <w:t>някои</w:t>
      </w:r>
      <w:r w:rsidRPr="00CB333D">
        <w:rPr>
          <w:lang w:val="pt-PT"/>
        </w:rPr>
        <w:t xml:space="preserve"> </w:t>
      </w:r>
      <w:r>
        <w:t>ЕО</w:t>
      </w:r>
      <w:r w:rsidRPr="00CB333D">
        <w:rPr>
          <w:lang w:val="pt-PT"/>
        </w:rPr>
        <w:t xml:space="preserve"> </w:t>
      </w:r>
      <w:r>
        <w:t>регламенти</w:t>
      </w:r>
      <w:r w:rsidRPr="00CB333D">
        <w:rPr>
          <w:lang w:val="pt-PT"/>
        </w:rPr>
        <w:t xml:space="preserve"> </w:t>
      </w:r>
      <w:r>
        <w:t>относно</w:t>
      </w:r>
      <w:r w:rsidRPr="00CB333D">
        <w:rPr>
          <w:lang w:val="pt-PT"/>
        </w:rPr>
        <w:t xml:space="preserve"> </w:t>
      </w:r>
      <w:r>
        <w:t>специфичните</w:t>
      </w:r>
      <w:r w:rsidRPr="00CB333D">
        <w:rPr>
          <w:lang w:val="pt-PT"/>
        </w:rPr>
        <w:t xml:space="preserve"> </w:t>
      </w:r>
      <w:r>
        <w:t>статистически</w:t>
      </w:r>
      <w:r w:rsidRPr="00CB333D">
        <w:rPr>
          <w:lang w:val="pt-PT"/>
        </w:rPr>
        <w:t xml:space="preserve"> </w:t>
      </w:r>
      <w:r>
        <w:t>области</w:t>
      </w:r>
      <w:r w:rsidRPr="00CB333D">
        <w:rPr>
          <w:lang w:val="pt-PT"/>
        </w:rPr>
        <w:t xml:space="preserve"> (O</w:t>
      </w:r>
      <w:r>
        <w:t>В</w:t>
      </w:r>
      <w:r w:rsidRPr="00CB333D">
        <w:rPr>
          <w:lang w:val="pt-PT"/>
        </w:rPr>
        <w:t xml:space="preserve"> L 393, 30.12.</w:t>
      </w:r>
      <w:proofErr w:type="gramStart"/>
      <w:r w:rsidRPr="00CB333D">
        <w:rPr>
          <w:lang w:val="pt-PT"/>
        </w:rPr>
        <w:t xml:space="preserve">2006 </w:t>
      </w:r>
      <w:r>
        <w:t>г</w:t>
      </w:r>
      <w:r w:rsidRPr="00CB333D">
        <w:rPr>
          <w:lang w:val="pt-PT"/>
        </w:rPr>
        <w:t>.</w:t>
      </w:r>
      <w:proofErr w:type="gramEnd"/>
      <w:r w:rsidRPr="00CB333D">
        <w:rPr>
          <w:lang w:val="pt-PT"/>
        </w:rPr>
        <w:t>). 1.</w:t>
      </w:r>
    </w:p>
  </w:footnote>
  <w:footnote w:id="31">
    <w:p w:rsidR="00BE3543" w:rsidRPr="00CB333D" w:rsidRDefault="00BE3543" w:rsidP="00843EAA">
      <w:pPr>
        <w:pStyle w:val="FootnoteText"/>
        <w:rPr>
          <w:lang w:val="pt-PT"/>
        </w:rPr>
      </w:pPr>
      <w:r>
        <w:rPr>
          <w:rStyle w:val="FootnoteReference"/>
        </w:rPr>
        <w:footnoteRef/>
      </w:r>
      <w:r w:rsidRPr="00CB333D">
        <w:rPr>
          <w:lang w:val="pt-PT"/>
        </w:rPr>
        <w:tab/>
      </w:r>
      <w:r>
        <w:t>Обозначени</w:t>
      </w:r>
      <w:r w:rsidRPr="00CB333D">
        <w:rPr>
          <w:lang w:val="pt-PT"/>
        </w:rPr>
        <w:t xml:space="preserve"> </w:t>
      </w:r>
      <w:r>
        <w:t>от</w:t>
      </w:r>
      <w:r w:rsidRPr="00CB333D">
        <w:rPr>
          <w:lang w:val="pt-PT"/>
        </w:rPr>
        <w:t xml:space="preserve"> </w:t>
      </w:r>
      <w:r>
        <w:t>държавите</w:t>
      </w:r>
      <w:r w:rsidRPr="00CB333D">
        <w:rPr>
          <w:lang w:val="pt-PT"/>
        </w:rPr>
        <w:t xml:space="preserve"> </w:t>
      </w:r>
      <w:r>
        <w:t>членки</w:t>
      </w:r>
      <w:r w:rsidRPr="00CB333D">
        <w:rPr>
          <w:lang w:val="pt-PT"/>
        </w:rPr>
        <w:t xml:space="preserve"> </w:t>
      </w:r>
      <w:r>
        <w:t>на</w:t>
      </w:r>
      <w:r w:rsidRPr="00CB333D">
        <w:rPr>
          <w:lang w:val="pt-PT"/>
        </w:rPr>
        <w:t xml:space="preserve"> </w:t>
      </w:r>
      <w:r>
        <w:t>техните</w:t>
      </w:r>
      <w:r w:rsidRPr="00CB333D">
        <w:rPr>
          <w:lang w:val="pt-PT"/>
        </w:rPr>
        <w:t xml:space="preserve"> </w:t>
      </w:r>
      <w:r>
        <w:t>карти</w:t>
      </w:r>
      <w:r w:rsidRPr="00CB333D">
        <w:rPr>
          <w:lang w:val="pt-PT"/>
        </w:rPr>
        <w:t xml:space="preserve"> </w:t>
      </w:r>
      <w:r>
        <w:t>на</w:t>
      </w:r>
      <w:r w:rsidRPr="00CB333D">
        <w:rPr>
          <w:lang w:val="pt-PT"/>
        </w:rPr>
        <w:t xml:space="preserve"> </w:t>
      </w:r>
      <w:r>
        <w:t>регионалните</w:t>
      </w:r>
      <w:r w:rsidRPr="00CB333D">
        <w:rPr>
          <w:lang w:val="pt-PT"/>
        </w:rPr>
        <w:t xml:space="preserve"> </w:t>
      </w:r>
      <w:r>
        <w:t>помощи</w:t>
      </w:r>
      <w:r w:rsidRPr="00CB333D">
        <w:rPr>
          <w:lang w:val="pt-PT"/>
        </w:rPr>
        <w:t xml:space="preserve"> </w:t>
      </w:r>
      <w:r>
        <w:t>в</w:t>
      </w:r>
      <w:r w:rsidRPr="00CB333D">
        <w:rPr>
          <w:lang w:val="pt-PT"/>
        </w:rPr>
        <w:t xml:space="preserve"> </w:t>
      </w:r>
      <w:r>
        <w:t>съответствие</w:t>
      </w:r>
      <w:r w:rsidRPr="00CB333D">
        <w:rPr>
          <w:lang w:val="pt-PT"/>
        </w:rPr>
        <w:t xml:space="preserve"> </w:t>
      </w:r>
      <w:r>
        <w:t>с</w:t>
      </w:r>
      <w:r w:rsidRPr="00CB333D">
        <w:rPr>
          <w:lang w:val="pt-PT"/>
        </w:rPr>
        <w:t xml:space="preserve"> </w:t>
      </w:r>
      <w:r>
        <w:t>параграф</w:t>
      </w:r>
      <w:r w:rsidRPr="00CB333D">
        <w:rPr>
          <w:lang w:val="pt-PT"/>
        </w:rPr>
        <w:t xml:space="preserve"> 161 </w:t>
      </w:r>
      <w:r>
        <w:t>от</w:t>
      </w:r>
      <w:r w:rsidRPr="00CB333D">
        <w:rPr>
          <w:lang w:val="pt-PT"/>
        </w:rPr>
        <w:t xml:space="preserve"> </w:t>
      </w:r>
      <w:r>
        <w:t>Насоките</w:t>
      </w:r>
      <w:r w:rsidRPr="00CB333D">
        <w:rPr>
          <w:lang w:val="pt-PT"/>
        </w:rPr>
        <w:t xml:space="preserve"> </w:t>
      </w:r>
      <w:r>
        <w:t>за</w:t>
      </w:r>
      <w:r w:rsidRPr="00CB333D">
        <w:rPr>
          <w:lang w:val="pt-PT"/>
        </w:rPr>
        <w:t xml:space="preserve"> </w:t>
      </w:r>
      <w:r>
        <w:t>регионалната</w:t>
      </w:r>
      <w:r w:rsidRPr="00CB333D">
        <w:rPr>
          <w:lang w:val="pt-PT"/>
        </w:rPr>
        <w:t xml:space="preserve"> </w:t>
      </w:r>
      <w:r>
        <w:t>помощ</w:t>
      </w:r>
      <w:r w:rsidRPr="00CB333D">
        <w:rPr>
          <w:lang w:val="pt-PT"/>
        </w:rPr>
        <w:t xml:space="preserve"> </w:t>
      </w:r>
      <w:r>
        <w:t>за</w:t>
      </w:r>
      <w:r w:rsidRPr="00CB333D">
        <w:rPr>
          <w:lang w:val="pt-PT"/>
        </w:rPr>
        <w:t xml:space="preserve"> </w:t>
      </w:r>
      <w:r>
        <w:t>периода</w:t>
      </w:r>
      <w:r w:rsidRPr="00CB333D">
        <w:rPr>
          <w:lang w:val="pt-PT"/>
        </w:rPr>
        <w:t xml:space="preserve"> 2014—2020 </w:t>
      </w:r>
      <w:r>
        <w:t>г</w:t>
      </w:r>
      <w:r w:rsidRPr="00CB333D">
        <w:rPr>
          <w:lang w:val="pt-PT"/>
        </w:rPr>
        <w:t xml:space="preserve">., </w:t>
      </w:r>
      <w:r>
        <w:t>ОВ</w:t>
      </w:r>
      <w:r w:rsidRPr="00CB333D">
        <w:rPr>
          <w:lang w:val="pt-PT"/>
        </w:rPr>
        <w:t xml:space="preserve"> </w:t>
      </w:r>
      <w:r>
        <w:t>С</w:t>
      </w:r>
      <w:r w:rsidRPr="00CB333D">
        <w:rPr>
          <w:lang w:val="pt-PT"/>
        </w:rPr>
        <w:t xml:space="preserve"> 209, 23.7.2013 </w:t>
      </w:r>
      <w:r>
        <w:t>г</w:t>
      </w:r>
      <w:r w:rsidRPr="00CB333D">
        <w:rPr>
          <w:lang w:val="pt-PT"/>
        </w:rPr>
        <w:t xml:space="preserve">., </w:t>
      </w:r>
      <w:r>
        <w:t>стр</w:t>
      </w:r>
      <w:r w:rsidRPr="00CB333D">
        <w:rPr>
          <w:lang w:val="pt-PT"/>
        </w:rPr>
        <w:t>. 1.</w:t>
      </w:r>
    </w:p>
  </w:footnote>
  <w:footnote w:id="32">
    <w:p w:rsidR="00BE3543" w:rsidRPr="00CB333D" w:rsidRDefault="00BE3543" w:rsidP="0093402F">
      <w:pPr>
        <w:pStyle w:val="FootnoteText"/>
        <w:rPr>
          <w:lang w:val="pt-PT"/>
        </w:rPr>
      </w:pPr>
      <w:r>
        <w:rPr>
          <w:rStyle w:val="FootnoteReference"/>
        </w:rPr>
        <w:footnoteRef/>
      </w:r>
      <w:r w:rsidRPr="00CB333D">
        <w:rPr>
          <w:lang w:val="pt-PT"/>
        </w:rPr>
        <w:tab/>
      </w:r>
      <w:r>
        <w:t>ОВ</w:t>
      </w:r>
      <w:r w:rsidRPr="00CB333D">
        <w:rPr>
          <w:lang w:val="pt-PT"/>
        </w:rPr>
        <w:t xml:space="preserve"> L 315, 20.12.2012 </w:t>
      </w:r>
      <w:r>
        <w:t>г</w:t>
      </w:r>
      <w:r w:rsidRPr="00CB333D">
        <w:rPr>
          <w:lang w:val="pt-PT"/>
        </w:rPr>
        <w:t xml:space="preserve">., </w:t>
      </w:r>
      <w:r>
        <w:t>стр</w:t>
      </w:r>
      <w:r w:rsidRPr="00CB333D">
        <w:rPr>
          <w:lang w:val="pt-PT"/>
        </w:rPr>
        <w:t>. 1.</w:t>
      </w:r>
    </w:p>
  </w:footnote>
  <w:footnote w:id="33">
    <w:p w:rsidR="00BE3543" w:rsidRPr="00CB333D" w:rsidRDefault="00BE3543">
      <w:pPr>
        <w:pStyle w:val="FootnoteText"/>
        <w:rPr>
          <w:lang w:val="pt-PT"/>
        </w:rPr>
      </w:pPr>
      <w:r>
        <w:rPr>
          <w:rStyle w:val="FootnoteReference"/>
        </w:rPr>
        <w:footnoteRef/>
      </w:r>
      <w:r w:rsidRPr="00CB333D">
        <w:rPr>
          <w:lang w:val="pt-PT"/>
        </w:rPr>
        <w:tab/>
      </w:r>
      <w:r>
        <w:t>Директивата</w:t>
      </w:r>
      <w:r w:rsidRPr="00CB333D">
        <w:rPr>
          <w:lang w:val="pt-PT"/>
        </w:rPr>
        <w:t xml:space="preserve"> </w:t>
      </w:r>
      <w:r>
        <w:t>ще</w:t>
      </w:r>
      <w:r w:rsidRPr="00CB333D">
        <w:rPr>
          <w:lang w:val="pt-PT"/>
        </w:rPr>
        <w:t xml:space="preserve"> </w:t>
      </w:r>
      <w:r>
        <w:t>се</w:t>
      </w:r>
      <w:r w:rsidRPr="00CB333D">
        <w:rPr>
          <w:lang w:val="pt-PT"/>
        </w:rPr>
        <w:t xml:space="preserve"> </w:t>
      </w:r>
      <w:r>
        <w:t>прилага</w:t>
      </w:r>
      <w:r w:rsidRPr="00CB333D">
        <w:rPr>
          <w:lang w:val="pt-PT"/>
        </w:rPr>
        <w:t xml:space="preserve"> </w:t>
      </w:r>
      <w:r>
        <w:t>след</w:t>
      </w:r>
      <w:r w:rsidRPr="00CB333D">
        <w:rPr>
          <w:lang w:val="pt-PT"/>
        </w:rPr>
        <w:t xml:space="preserve"> </w:t>
      </w:r>
      <w:r>
        <w:t>като</w:t>
      </w:r>
      <w:r w:rsidRPr="00CB333D">
        <w:rPr>
          <w:lang w:val="pt-PT"/>
        </w:rPr>
        <w:t xml:space="preserve"> </w:t>
      </w:r>
      <w:r>
        <w:t>бъде</w:t>
      </w:r>
      <w:r w:rsidRPr="00CB333D">
        <w:rPr>
          <w:lang w:val="pt-PT"/>
        </w:rPr>
        <w:t xml:space="preserve"> </w:t>
      </w:r>
      <w:r>
        <w:t>приета</w:t>
      </w:r>
      <w:r w:rsidRPr="00CB333D">
        <w:rPr>
          <w:lang w:val="pt-PT"/>
        </w:rPr>
        <w:t>.</w:t>
      </w:r>
    </w:p>
  </w:footnote>
  <w:footnote w:id="34">
    <w:p w:rsidR="006645D9" w:rsidRPr="00CB333D" w:rsidRDefault="006645D9" w:rsidP="006645D9">
      <w:pPr>
        <w:pStyle w:val="FootnoteText"/>
        <w:rPr>
          <w:rFonts w:ascii="Calibri" w:eastAsia="Calibri" w:hAnsi="Calibri"/>
          <w:lang w:val="pt-PT" w:eastAsia="en-US"/>
        </w:rPr>
      </w:pPr>
      <w:r>
        <w:rPr>
          <w:rStyle w:val="FootnoteReference"/>
        </w:rPr>
        <w:footnoteRef/>
      </w:r>
      <w:r w:rsidRPr="00CB333D">
        <w:rPr>
          <w:lang w:val="pt-PT"/>
        </w:rPr>
        <w:tab/>
      </w:r>
      <w:r>
        <w:t>Определенията</w:t>
      </w:r>
      <w:r w:rsidRPr="00CB333D">
        <w:rPr>
          <w:lang w:val="pt-PT"/>
        </w:rPr>
        <w:t xml:space="preserve"> </w:t>
      </w:r>
      <w:r>
        <w:t>от</w:t>
      </w:r>
      <w:r w:rsidRPr="00CB333D">
        <w:rPr>
          <w:lang w:val="pt-PT"/>
        </w:rPr>
        <w:t xml:space="preserve"> </w:t>
      </w:r>
      <w:r>
        <w:t>директивата</w:t>
      </w:r>
      <w:r w:rsidRPr="00CB333D">
        <w:rPr>
          <w:lang w:val="pt-PT"/>
        </w:rPr>
        <w:t xml:space="preserve"> </w:t>
      </w:r>
      <w:r>
        <w:t>се</w:t>
      </w:r>
      <w:r w:rsidRPr="00CB333D">
        <w:rPr>
          <w:lang w:val="pt-PT"/>
        </w:rPr>
        <w:t xml:space="preserve"> </w:t>
      </w:r>
      <w:r>
        <w:t>прилагат</w:t>
      </w:r>
      <w:r w:rsidRPr="00CB333D">
        <w:rPr>
          <w:lang w:val="pt-PT"/>
        </w:rPr>
        <w:t xml:space="preserve"> </w:t>
      </w:r>
      <w:r>
        <w:t>от</w:t>
      </w:r>
      <w:r w:rsidRPr="00CB333D">
        <w:rPr>
          <w:lang w:val="pt-PT"/>
        </w:rPr>
        <w:t xml:space="preserve"> </w:t>
      </w:r>
      <w:r>
        <w:t>момента</w:t>
      </w:r>
      <w:r w:rsidRPr="00CB333D">
        <w:rPr>
          <w:lang w:val="pt-PT"/>
        </w:rPr>
        <w:t xml:space="preserve">, </w:t>
      </w:r>
      <w:r>
        <w:t>в</w:t>
      </w:r>
      <w:r w:rsidRPr="00CB333D">
        <w:rPr>
          <w:lang w:val="pt-PT"/>
        </w:rPr>
        <w:t xml:space="preserve"> </w:t>
      </w:r>
      <w:r>
        <w:t>който</w:t>
      </w:r>
      <w:r w:rsidRPr="00CB333D">
        <w:rPr>
          <w:lang w:val="pt-PT"/>
        </w:rPr>
        <w:t xml:space="preserve"> </w:t>
      </w:r>
      <w:r>
        <w:t>тя</w:t>
      </w:r>
      <w:r w:rsidRPr="00CB333D">
        <w:rPr>
          <w:lang w:val="pt-PT"/>
        </w:rPr>
        <w:t xml:space="preserve"> </w:t>
      </w:r>
      <w:r>
        <w:t>е</w:t>
      </w:r>
      <w:r w:rsidRPr="00CB333D">
        <w:rPr>
          <w:lang w:val="pt-PT"/>
        </w:rPr>
        <w:t xml:space="preserve"> </w:t>
      </w:r>
      <w:r>
        <w:t>приета</w:t>
      </w:r>
      <w:r w:rsidRPr="00CB333D">
        <w:rPr>
          <w:lang w:val="pt-PT"/>
        </w:rPr>
        <w:t>.</w:t>
      </w:r>
    </w:p>
  </w:footnote>
  <w:footnote w:id="35">
    <w:p w:rsidR="00BE3543" w:rsidRPr="00CB333D" w:rsidRDefault="00BE3543" w:rsidP="0093402F">
      <w:pPr>
        <w:pStyle w:val="FootnoteText"/>
        <w:rPr>
          <w:lang w:val="pt-PT"/>
        </w:rPr>
      </w:pPr>
      <w:r>
        <w:rPr>
          <w:rStyle w:val="FootnoteReference"/>
        </w:rPr>
        <w:footnoteRef/>
      </w:r>
      <w:r w:rsidRPr="00CB333D">
        <w:rPr>
          <w:lang w:val="pt-PT"/>
        </w:rPr>
        <w:tab/>
      </w:r>
      <w:r>
        <w:t>ОВ</w:t>
      </w:r>
      <w:r w:rsidRPr="00CB333D">
        <w:rPr>
          <w:lang w:val="pt-PT"/>
        </w:rPr>
        <w:t xml:space="preserve"> L 283, 31.10.2003 </w:t>
      </w:r>
      <w:r>
        <w:t>г</w:t>
      </w:r>
      <w:r w:rsidRPr="00CB333D">
        <w:rPr>
          <w:lang w:val="pt-PT"/>
        </w:rPr>
        <w:t xml:space="preserve">., </w:t>
      </w:r>
      <w:r>
        <w:t>стр</w:t>
      </w:r>
      <w:r w:rsidRPr="00CB333D">
        <w:rPr>
          <w:lang w:val="pt-PT"/>
        </w:rPr>
        <w:t>. 51.</w:t>
      </w:r>
    </w:p>
  </w:footnote>
  <w:footnote w:id="36">
    <w:p w:rsidR="00BE3543" w:rsidRPr="00CB333D" w:rsidRDefault="00BE3543" w:rsidP="0093402F">
      <w:pPr>
        <w:pStyle w:val="FootnoteText"/>
        <w:rPr>
          <w:lang w:val="pt-PT"/>
        </w:rPr>
      </w:pPr>
      <w:r>
        <w:rPr>
          <w:rStyle w:val="FootnoteReference"/>
        </w:rPr>
        <w:footnoteRef/>
      </w:r>
      <w:r w:rsidRPr="00CB333D">
        <w:rPr>
          <w:lang w:val="pt-PT"/>
        </w:rPr>
        <w:tab/>
      </w:r>
      <w:r>
        <w:t>ОВ</w:t>
      </w:r>
      <w:r w:rsidRPr="00CB333D">
        <w:rPr>
          <w:lang w:val="pt-PT"/>
        </w:rPr>
        <w:t xml:space="preserve"> L 315, 20.12.2012 </w:t>
      </w:r>
      <w:r>
        <w:t>г</w:t>
      </w:r>
      <w:r w:rsidRPr="00CB333D">
        <w:rPr>
          <w:lang w:val="pt-PT"/>
        </w:rPr>
        <w:t xml:space="preserve">., </w:t>
      </w:r>
      <w:r>
        <w:t>стр</w:t>
      </w:r>
      <w:r w:rsidRPr="00CB333D">
        <w:rPr>
          <w:lang w:val="pt-PT"/>
        </w:rPr>
        <w:t>.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254778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6D68A58E"/>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169015D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295C1E2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83E5CB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182D2D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65E94D4"/>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152447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7"/>
    <w:lvlOverride w:ilvl="0">
      <w:startOverride w:val="1"/>
    </w:lvlOverride>
  </w:num>
  <w:num w:numId="11">
    <w:abstractNumId w:val="11"/>
    <w:lvlOverride w:ilvl="0">
      <w:startOverride w:val="1"/>
    </w:lvlOverride>
  </w:num>
  <w:num w:numId="12">
    <w:abstractNumId w:val="16"/>
    <w:lvlOverride w:ilvl="0">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num>
  <w:num w:numId="65">
    <w:abstractNumId w:val="12"/>
  </w:num>
  <w:num w:numId="66">
    <w:abstractNumId w:val="20"/>
  </w:num>
  <w:num w:numId="67">
    <w:abstractNumId w:val="11"/>
  </w:num>
  <w:num w:numId="68">
    <w:abstractNumId w:val="13"/>
  </w:num>
  <w:num w:numId="69">
    <w:abstractNumId w:val="9"/>
  </w:num>
  <w:num w:numId="70">
    <w:abstractNumId w:val="19"/>
  </w:num>
  <w:num w:numId="71">
    <w:abstractNumId w:val="8"/>
  </w:num>
  <w:num w:numId="72">
    <w:abstractNumId w:val="14"/>
  </w:num>
  <w:num w:numId="73">
    <w:abstractNumId w:val="16"/>
  </w:num>
  <w:num w:numId="74">
    <w:abstractNumId w:val="17"/>
  </w:num>
  <w:num w:numId="75">
    <w:abstractNumId w:val="10"/>
  </w:num>
  <w:num w:numId="76">
    <w:abstractNumId w:val="15"/>
  </w:num>
  <w:num w:numId="77">
    <w:abstractNumId w:val="2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QCDateTime" w:val="2014-01-13 15:57:3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VERPAGE_GUID" w:val="EB7F366F1F0C49C39842BBAE7A92E7E6"/>
    <w:docVar w:name="LW_CROSSREFERENCE" w:val="&lt;UNUSED&gt;"/>
    <w:docVar w:name="LW_DATE.ADOPT.CP" w:val="от 18.12.2013 година"/>
    <w:docVar w:name="LW_DATE.ADOPT.CP_DATEFORMAT" w:val="\u1086?\u1090? %DATE% \u1075?\u1086?\u1076?\u1080?\u1085?\u1072?"/>
    <w:docVar w:name="LW_DATE.ADOPT.CP_ISODATE" w:val="2013-12-18"/>
    <w:docVar w:name="LW_DocType" w:val="COM"/>
    <w:docVar w:name="LW_EMISSION" w:val="18.12.2013"/>
    <w:docVar w:name="LW_EMISSION_ISODATE" w:val="2013-12-18"/>
    <w:docVar w:name="LW_EMISSION_LOCATION" w:val="BRX"/>
    <w:docVar w:name="LW_EMISSION_PREFIX" w:val="Брюксел, "/>
    <w:docVar w:name="LW_EMISSION_SUFFIX" w:val=" г."/>
    <w:docVar w:name="LW_ID_DOCMODEL" w:val="SJ-002"/>
    <w:docVar w:name="LW_ID_DOCSIGNATURE" w:val="SJ-002"/>
    <w:docVar w:name="LW_ID_DOCSTRUCTURE" w:val="COM/AA"/>
    <w:docVar w:name="LW_ID_DOCTYPE" w:val="SJ-002"/>
    <w:docVar w:name="LW_INTERETEEE.CP" w:val="(\u1090?\u1077?\u1082?\u1089?\u1090? \u1086?\u1090? \u1079?\u1085?\u1072?\u1095?\u1077?\u1085?\u1080?\u1077? \u1079?\u1072? \u1045?\u1048?\u1055?)"/>
    <w:docVar w:name="LW_LANGUE" w:val="BG"/>
    <w:docVar w:name="LW_LANGUESFAISANTFOI.CP" w:val="&lt;UNUSED&gt;"/>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NST.NEW" w:val="C"/>
    <w:docVar w:name="LW_REF.INST.NEW_ADOPTED" w:val="&lt;EMPTY&gt;"/>
    <w:docVar w:name="LW_REF.INST.NEW_TEXT" w:val="(2013) 9256"/>
    <w:docVar w:name="LW_REF.INTERNE" w:val="&lt;UNUSED&gt;"/>
    <w:docVar w:name="LW_SOUS.TITRE.OBJ.CP" w:val="&lt;UNUSED&gt;"/>
    <w:docVar w:name="LW_SUPERTITRE" w:val="&lt;UNUSED&gt;"/>
    <w:docVar w:name="LW_TITRE.OBJ.CP" w:val="\u1079?\u1072? \u1086?\u1073?\u1103?\u1074?\u1103?\u1074?\u1072?\u1085?\u1077? \u1085?\u1072? \u1085?\u1103?\u1082?\u1086?\u1080? \u1082?\u1072?\u1090?\u1077?\u1075?\u1086?\u1088?\u1080?\u1080? \u1087?\u1086?\u1084?\u1086?\u1097?\u1080? \u1079?\u1072? \u1089?\u1098?\u1074?\u1084?\u1077?\u1089?\u1090?\u1080?\u1084?\u1080? \u1089? \u1074?\u1098?\u1090?\u1088?\u1077?\u1096?\u1085?\u1080?\u1103? \u1087?\u1072?\u1079?\u1072?\u1088? \u1074? \u1087?\u1088?\u1080?\u1083?\u1086?\u1078?\u1077?\u1085?\u1080?\u1077? \u1085?\u1072? \u1095?\u1083?\u1077?\u1085?\u1086?\u1074?\u1077? 107 \u1080? 108 \u1086?\u1090? \u1044?\u1086?\u1075?\u1086?\u1074?\u1086?\u1088?\u1072?_x000b_\u1055?\u1056?\u1054?\u1045?\u1050?\u1058?"/>
    <w:docVar w:name="LW_TYPE.DOC.CP" w:val="\u1056?\u1045?\u1043?\u1051?\u1040?\u1052?\u1045?\u1053?\u1058? (\u1045?\u1057?) \u8470? .../... \u1053?\u1040? \u1050?\u1054?\u1052?\u1048?\u1057?\u1048?\u1071?\u1058?\u1040?"/>
  </w:docVars>
  <w:rsids>
    <w:rsidRoot w:val="001C6602"/>
    <w:rsid w:val="00001088"/>
    <w:rsid w:val="00003C32"/>
    <w:rsid w:val="000041A3"/>
    <w:rsid w:val="000064F7"/>
    <w:rsid w:val="00006535"/>
    <w:rsid w:val="00011693"/>
    <w:rsid w:val="000117B1"/>
    <w:rsid w:val="00013051"/>
    <w:rsid w:val="00013259"/>
    <w:rsid w:val="00013B4C"/>
    <w:rsid w:val="000141EE"/>
    <w:rsid w:val="00014583"/>
    <w:rsid w:val="000215C4"/>
    <w:rsid w:val="000218E4"/>
    <w:rsid w:val="00022DDA"/>
    <w:rsid w:val="0002318A"/>
    <w:rsid w:val="00023C74"/>
    <w:rsid w:val="00024059"/>
    <w:rsid w:val="00025DD4"/>
    <w:rsid w:val="00027B60"/>
    <w:rsid w:val="00027D79"/>
    <w:rsid w:val="00032A33"/>
    <w:rsid w:val="00032EEB"/>
    <w:rsid w:val="000357B6"/>
    <w:rsid w:val="000363DA"/>
    <w:rsid w:val="00037712"/>
    <w:rsid w:val="000403AE"/>
    <w:rsid w:val="000408A6"/>
    <w:rsid w:val="00040E1D"/>
    <w:rsid w:val="000417BE"/>
    <w:rsid w:val="00041A70"/>
    <w:rsid w:val="0004220E"/>
    <w:rsid w:val="00042815"/>
    <w:rsid w:val="00042E3B"/>
    <w:rsid w:val="00043822"/>
    <w:rsid w:val="0004393A"/>
    <w:rsid w:val="00045001"/>
    <w:rsid w:val="00045054"/>
    <w:rsid w:val="000475E3"/>
    <w:rsid w:val="00051BEA"/>
    <w:rsid w:val="00052C4F"/>
    <w:rsid w:val="000532BF"/>
    <w:rsid w:val="00053B3E"/>
    <w:rsid w:val="00054F4C"/>
    <w:rsid w:val="000566DB"/>
    <w:rsid w:val="0005694B"/>
    <w:rsid w:val="000571A0"/>
    <w:rsid w:val="00060934"/>
    <w:rsid w:val="00060DD5"/>
    <w:rsid w:val="00060EDC"/>
    <w:rsid w:val="0006165F"/>
    <w:rsid w:val="000619FF"/>
    <w:rsid w:val="0006489A"/>
    <w:rsid w:val="00064E3A"/>
    <w:rsid w:val="00065352"/>
    <w:rsid w:val="00065EC5"/>
    <w:rsid w:val="00066D79"/>
    <w:rsid w:val="00071EB4"/>
    <w:rsid w:val="000721F0"/>
    <w:rsid w:val="00074137"/>
    <w:rsid w:val="00074F6B"/>
    <w:rsid w:val="0007580C"/>
    <w:rsid w:val="00076C89"/>
    <w:rsid w:val="000773EE"/>
    <w:rsid w:val="00077B9A"/>
    <w:rsid w:val="00077DAE"/>
    <w:rsid w:val="00077F8E"/>
    <w:rsid w:val="00080288"/>
    <w:rsid w:val="00080A2E"/>
    <w:rsid w:val="00082955"/>
    <w:rsid w:val="000830B2"/>
    <w:rsid w:val="00083B1B"/>
    <w:rsid w:val="00083F88"/>
    <w:rsid w:val="0008458E"/>
    <w:rsid w:val="000852DF"/>
    <w:rsid w:val="00085C6F"/>
    <w:rsid w:val="000861BB"/>
    <w:rsid w:val="00087F07"/>
    <w:rsid w:val="00094FE9"/>
    <w:rsid w:val="00096E7F"/>
    <w:rsid w:val="000A3D81"/>
    <w:rsid w:val="000A4897"/>
    <w:rsid w:val="000A4A33"/>
    <w:rsid w:val="000A4F8C"/>
    <w:rsid w:val="000A623C"/>
    <w:rsid w:val="000A69B8"/>
    <w:rsid w:val="000A6B16"/>
    <w:rsid w:val="000A6C92"/>
    <w:rsid w:val="000A76B6"/>
    <w:rsid w:val="000A7789"/>
    <w:rsid w:val="000B025B"/>
    <w:rsid w:val="000B0527"/>
    <w:rsid w:val="000B1120"/>
    <w:rsid w:val="000B18CB"/>
    <w:rsid w:val="000B1E7E"/>
    <w:rsid w:val="000B216D"/>
    <w:rsid w:val="000B2F53"/>
    <w:rsid w:val="000B4941"/>
    <w:rsid w:val="000B4BC1"/>
    <w:rsid w:val="000B65E8"/>
    <w:rsid w:val="000B6769"/>
    <w:rsid w:val="000B7BFC"/>
    <w:rsid w:val="000C0053"/>
    <w:rsid w:val="000C1BA5"/>
    <w:rsid w:val="000C2776"/>
    <w:rsid w:val="000C27F9"/>
    <w:rsid w:val="000C2830"/>
    <w:rsid w:val="000C4635"/>
    <w:rsid w:val="000C4F2E"/>
    <w:rsid w:val="000C5539"/>
    <w:rsid w:val="000C5F9C"/>
    <w:rsid w:val="000C6CEB"/>
    <w:rsid w:val="000C7040"/>
    <w:rsid w:val="000C7DBF"/>
    <w:rsid w:val="000D0254"/>
    <w:rsid w:val="000D0F49"/>
    <w:rsid w:val="000D11CA"/>
    <w:rsid w:val="000D2BC5"/>
    <w:rsid w:val="000D3C91"/>
    <w:rsid w:val="000D499F"/>
    <w:rsid w:val="000D4A41"/>
    <w:rsid w:val="000D5224"/>
    <w:rsid w:val="000D7255"/>
    <w:rsid w:val="000E06FC"/>
    <w:rsid w:val="000E26E9"/>
    <w:rsid w:val="000E2C81"/>
    <w:rsid w:val="000E3379"/>
    <w:rsid w:val="000E4591"/>
    <w:rsid w:val="000E605C"/>
    <w:rsid w:val="000E699F"/>
    <w:rsid w:val="000F053F"/>
    <w:rsid w:val="000F28D6"/>
    <w:rsid w:val="000F44A0"/>
    <w:rsid w:val="000F5D03"/>
    <w:rsid w:val="00100E86"/>
    <w:rsid w:val="00101B07"/>
    <w:rsid w:val="00102D43"/>
    <w:rsid w:val="00104557"/>
    <w:rsid w:val="00104872"/>
    <w:rsid w:val="00105B66"/>
    <w:rsid w:val="00105E25"/>
    <w:rsid w:val="00106ED2"/>
    <w:rsid w:val="0010773F"/>
    <w:rsid w:val="00110F8F"/>
    <w:rsid w:val="00111049"/>
    <w:rsid w:val="00111EF6"/>
    <w:rsid w:val="00112330"/>
    <w:rsid w:val="001127DD"/>
    <w:rsid w:val="001138D8"/>
    <w:rsid w:val="00113ACC"/>
    <w:rsid w:val="00114230"/>
    <w:rsid w:val="00116A8D"/>
    <w:rsid w:val="0012012F"/>
    <w:rsid w:val="001232D1"/>
    <w:rsid w:val="001232F8"/>
    <w:rsid w:val="00123AA3"/>
    <w:rsid w:val="001263F9"/>
    <w:rsid w:val="0012701D"/>
    <w:rsid w:val="00130004"/>
    <w:rsid w:val="00131E96"/>
    <w:rsid w:val="00133418"/>
    <w:rsid w:val="00136EA7"/>
    <w:rsid w:val="001372F8"/>
    <w:rsid w:val="00141233"/>
    <w:rsid w:val="001415DD"/>
    <w:rsid w:val="001428CD"/>
    <w:rsid w:val="00143059"/>
    <w:rsid w:val="001436AA"/>
    <w:rsid w:val="00144D85"/>
    <w:rsid w:val="0014585C"/>
    <w:rsid w:val="00145B98"/>
    <w:rsid w:val="001469F8"/>
    <w:rsid w:val="00146DF4"/>
    <w:rsid w:val="00147648"/>
    <w:rsid w:val="00147735"/>
    <w:rsid w:val="00147D9C"/>
    <w:rsid w:val="001515BB"/>
    <w:rsid w:val="001531CF"/>
    <w:rsid w:val="001536C7"/>
    <w:rsid w:val="001544FA"/>
    <w:rsid w:val="00154AF4"/>
    <w:rsid w:val="00155DA3"/>
    <w:rsid w:val="00156E61"/>
    <w:rsid w:val="0016034F"/>
    <w:rsid w:val="00161D8F"/>
    <w:rsid w:val="00164463"/>
    <w:rsid w:val="00164703"/>
    <w:rsid w:val="00165874"/>
    <w:rsid w:val="00165A24"/>
    <w:rsid w:val="00166909"/>
    <w:rsid w:val="001677DC"/>
    <w:rsid w:val="00167E02"/>
    <w:rsid w:val="00167F2F"/>
    <w:rsid w:val="00167FB2"/>
    <w:rsid w:val="001712CC"/>
    <w:rsid w:val="00171F7E"/>
    <w:rsid w:val="00174109"/>
    <w:rsid w:val="00174769"/>
    <w:rsid w:val="00174CC8"/>
    <w:rsid w:val="00175D16"/>
    <w:rsid w:val="0017618A"/>
    <w:rsid w:val="00176395"/>
    <w:rsid w:val="00176AD1"/>
    <w:rsid w:val="0017743D"/>
    <w:rsid w:val="0017784D"/>
    <w:rsid w:val="00180545"/>
    <w:rsid w:val="001806FD"/>
    <w:rsid w:val="0018110C"/>
    <w:rsid w:val="00182D56"/>
    <w:rsid w:val="001842A9"/>
    <w:rsid w:val="00184DF7"/>
    <w:rsid w:val="00185E98"/>
    <w:rsid w:val="00186164"/>
    <w:rsid w:val="001871CC"/>
    <w:rsid w:val="00187BBD"/>
    <w:rsid w:val="001929A1"/>
    <w:rsid w:val="0019352F"/>
    <w:rsid w:val="001945F3"/>
    <w:rsid w:val="00194629"/>
    <w:rsid w:val="00194822"/>
    <w:rsid w:val="00194D6D"/>
    <w:rsid w:val="00195948"/>
    <w:rsid w:val="00197F4E"/>
    <w:rsid w:val="001A099D"/>
    <w:rsid w:val="001A0C8B"/>
    <w:rsid w:val="001A2DB8"/>
    <w:rsid w:val="001A361D"/>
    <w:rsid w:val="001A45FF"/>
    <w:rsid w:val="001A57C2"/>
    <w:rsid w:val="001A5B5D"/>
    <w:rsid w:val="001A5BE0"/>
    <w:rsid w:val="001B10DD"/>
    <w:rsid w:val="001B2249"/>
    <w:rsid w:val="001B322E"/>
    <w:rsid w:val="001B3370"/>
    <w:rsid w:val="001B3930"/>
    <w:rsid w:val="001B534C"/>
    <w:rsid w:val="001B7E12"/>
    <w:rsid w:val="001C0AC8"/>
    <w:rsid w:val="001C1925"/>
    <w:rsid w:val="001C2245"/>
    <w:rsid w:val="001C2752"/>
    <w:rsid w:val="001C2AF6"/>
    <w:rsid w:val="001C2E8D"/>
    <w:rsid w:val="001C3C33"/>
    <w:rsid w:val="001C5956"/>
    <w:rsid w:val="001C6602"/>
    <w:rsid w:val="001C6994"/>
    <w:rsid w:val="001D0048"/>
    <w:rsid w:val="001D05CC"/>
    <w:rsid w:val="001D0FCF"/>
    <w:rsid w:val="001D2956"/>
    <w:rsid w:val="001D41D7"/>
    <w:rsid w:val="001D4760"/>
    <w:rsid w:val="001D49BD"/>
    <w:rsid w:val="001D6E58"/>
    <w:rsid w:val="001D6E77"/>
    <w:rsid w:val="001D724A"/>
    <w:rsid w:val="001D7B89"/>
    <w:rsid w:val="001E1A92"/>
    <w:rsid w:val="001E3529"/>
    <w:rsid w:val="001E481C"/>
    <w:rsid w:val="001E52D0"/>
    <w:rsid w:val="001E5305"/>
    <w:rsid w:val="001E5BD3"/>
    <w:rsid w:val="001E6B1F"/>
    <w:rsid w:val="001E6F3E"/>
    <w:rsid w:val="001E75E9"/>
    <w:rsid w:val="001F02B4"/>
    <w:rsid w:val="001F0685"/>
    <w:rsid w:val="001F0CE9"/>
    <w:rsid w:val="001F1A51"/>
    <w:rsid w:val="001F2A7B"/>
    <w:rsid w:val="001F398D"/>
    <w:rsid w:val="001F4147"/>
    <w:rsid w:val="001F4B66"/>
    <w:rsid w:val="001F50E7"/>
    <w:rsid w:val="001F57BF"/>
    <w:rsid w:val="001F5D07"/>
    <w:rsid w:val="001F629F"/>
    <w:rsid w:val="00203E47"/>
    <w:rsid w:val="00203F2A"/>
    <w:rsid w:val="00205129"/>
    <w:rsid w:val="0020585A"/>
    <w:rsid w:val="002074D4"/>
    <w:rsid w:val="00212051"/>
    <w:rsid w:val="00212336"/>
    <w:rsid w:val="00212814"/>
    <w:rsid w:val="00212C44"/>
    <w:rsid w:val="00212D14"/>
    <w:rsid w:val="002144E0"/>
    <w:rsid w:val="00214775"/>
    <w:rsid w:val="00214F9D"/>
    <w:rsid w:val="00216739"/>
    <w:rsid w:val="00217682"/>
    <w:rsid w:val="00220972"/>
    <w:rsid w:val="00220A60"/>
    <w:rsid w:val="002215AB"/>
    <w:rsid w:val="002234D0"/>
    <w:rsid w:val="002258D3"/>
    <w:rsid w:val="00226096"/>
    <w:rsid w:val="00226921"/>
    <w:rsid w:val="0022720E"/>
    <w:rsid w:val="00230367"/>
    <w:rsid w:val="002326A4"/>
    <w:rsid w:val="002332F7"/>
    <w:rsid w:val="0023459A"/>
    <w:rsid w:val="0023500C"/>
    <w:rsid w:val="002350DF"/>
    <w:rsid w:val="00235941"/>
    <w:rsid w:val="00237932"/>
    <w:rsid w:val="00240BC1"/>
    <w:rsid w:val="00241097"/>
    <w:rsid w:val="00241A0C"/>
    <w:rsid w:val="00241D8C"/>
    <w:rsid w:val="0024272A"/>
    <w:rsid w:val="00242E61"/>
    <w:rsid w:val="0024528E"/>
    <w:rsid w:val="00250180"/>
    <w:rsid w:val="00250B1D"/>
    <w:rsid w:val="00251A99"/>
    <w:rsid w:val="00252292"/>
    <w:rsid w:val="002525DC"/>
    <w:rsid w:val="002528E2"/>
    <w:rsid w:val="00252DF4"/>
    <w:rsid w:val="00253858"/>
    <w:rsid w:val="00254D84"/>
    <w:rsid w:val="002550C0"/>
    <w:rsid w:val="00257BA4"/>
    <w:rsid w:val="0026022D"/>
    <w:rsid w:val="002605C3"/>
    <w:rsid w:val="00262C52"/>
    <w:rsid w:val="00262F01"/>
    <w:rsid w:val="0026444C"/>
    <w:rsid w:val="00265AF6"/>
    <w:rsid w:val="00265F1D"/>
    <w:rsid w:val="00266C03"/>
    <w:rsid w:val="0026784F"/>
    <w:rsid w:val="0026793F"/>
    <w:rsid w:val="00267C53"/>
    <w:rsid w:val="00267E4C"/>
    <w:rsid w:val="00267EE9"/>
    <w:rsid w:val="00270856"/>
    <w:rsid w:val="00270FBB"/>
    <w:rsid w:val="0027107F"/>
    <w:rsid w:val="00272D5E"/>
    <w:rsid w:val="00273019"/>
    <w:rsid w:val="002732E8"/>
    <w:rsid w:val="002740C0"/>
    <w:rsid w:val="002746AB"/>
    <w:rsid w:val="00274830"/>
    <w:rsid w:val="00274D5C"/>
    <w:rsid w:val="0027517E"/>
    <w:rsid w:val="0027726B"/>
    <w:rsid w:val="002813C5"/>
    <w:rsid w:val="00281A7A"/>
    <w:rsid w:val="00282474"/>
    <w:rsid w:val="00282974"/>
    <w:rsid w:val="002840EF"/>
    <w:rsid w:val="002847A2"/>
    <w:rsid w:val="00286A34"/>
    <w:rsid w:val="00286E4F"/>
    <w:rsid w:val="00287457"/>
    <w:rsid w:val="00290099"/>
    <w:rsid w:val="002913AF"/>
    <w:rsid w:val="002914F5"/>
    <w:rsid w:val="00293E7B"/>
    <w:rsid w:val="00294243"/>
    <w:rsid w:val="002942B8"/>
    <w:rsid w:val="00295017"/>
    <w:rsid w:val="0029658B"/>
    <w:rsid w:val="00297079"/>
    <w:rsid w:val="00297140"/>
    <w:rsid w:val="00297E04"/>
    <w:rsid w:val="002A0419"/>
    <w:rsid w:val="002A1742"/>
    <w:rsid w:val="002A1DE0"/>
    <w:rsid w:val="002A23E1"/>
    <w:rsid w:val="002A5846"/>
    <w:rsid w:val="002A5B8E"/>
    <w:rsid w:val="002A6521"/>
    <w:rsid w:val="002A66F2"/>
    <w:rsid w:val="002A678C"/>
    <w:rsid w:val="002A68B7"/>
    <w:rsid w:val="002A6D36"/>
    <w:rsid w:val="002A72B3"/>
    <w:rsid w:val="002A731D"/>
    <w:rsid w:val="002A7C68"/>
    <w:rsid w:val="002B07BE"/>
    <w:rsid w:val="002B0BBB"/>
    <w:rsid w:val="002B0CF0"/>
    <w:rsid w:val="002B0DD0"/>
    <w:rsid w:val="002B0E9C"/>
    <w:rsid w:val="002B176C"/>
    <w:rsid w:val="002B2257"/>
    <w:rsid w:val="002B2472"/>
    <w:rsid w:val="002B247E"/>
    <w:rsid w:val="002B2BFC"/>
    <w:rsid w:val="002B2DE2"/>
    <w:rsid w:val="002B3C32"/>
    <w:rsid w:val="002B3F71"/>
    <w:rsid w:val="002B42D7"/>
    <w:rsid w:val="002B6556"/>
    <w:rsid w:val="002C0B3B"/>
    <w:rsid w:val="002C1EDA"/>
    <w:rsid w:val="002C23E0"/>
    <w:rsid w:val="002C35E3"/>
    <w:rsid w:val="002C3A71"/>
    <w:rsid w:val="002C3C12"/>
    <w:rsid w:val="002C6868"/>
    <w:rsid w:val="002C6B62"/>
    <w:rsid w:val="002D1BB7"/>
    <w:rsid w:val="002D33A8"/>
    <w:rsid w:val="002D40E2"/>
    <w:rsid w:val="002D69D7"/>
    <w:rsid w:val="002D71DE"/>
    <w:rsid w:val="002D753D"/>
    <w:rsid w:val="002D77C6"/>
    <w:rsid w:val="002E01A0"/>
    <w:rsid w:val="002E048D"/>
    <w:rsid w:val="002E26F2"/>
    <w:rsid w:val="002E547F"/>
    <w:rsid w:val="002E5CF0"/>
    <w:rsid w:val="002E7281"/>
    <w:rsid w:val="002E75B8"/>
    <w:rsid w:val="002E7CA0"/>
    <w:rsid w:val="002E7E44"/>
    <w:rsid w:val="002F060C"/>
    <w:rsid w:val="002F1E9C"/>
    <w:rsid w:val="002F2B8D"/>
    <w:rsid w:val="002F6310"/>
    <w:rsid w:val="002F6727"/>
    <w:rsid w:val="002F6F17"/>
    <w:rsid w:val="002F6F1B"/>
    <w:rsid w:val="002F7B48"/>
    <w:rsid w:val="00302D34"/>
    <w:rsid w:val="00303B98"/>
    <w:rsid w:val="003047FA"/>
    <w:rsid w:val="003056B1"/>
    <w:rsid w:val="00305FB1"/>
    <w:rsid w:val="00310647"/>
    <w:rsid w:val="00312CC7"/>
    <w:rsid w:val="00315683"/>
    <w:rsid w:val="0031600F"/>
    <w:rsid w:val="00316A49"/>
    <w:rsid w:val="00320FE1"/>
    <w:rsid w:val="00321D99"/>
    <w:rsid w:val="003227C4"/>
    <w:rsid w:val="00324168"/>
    <w:rsid w:val="00324D55"/>
    <w:rsid w:val="003278A0"/>
    <w:rsid w:val="00330003"/>
    <w:rsid w:val="00330800"/>
    <w:rsid w:val="003313A3"/>
    <w:rsid w:val="003317E1"/>
    <w:rsid w:val="00333F24"/>
    <w:rsid w:val="00333FF6"/>
    <w:rsid w:val="003355AF"/>
    <w:rsid w:val="00336701"/>
    <w:rsid w:val="00336F02"/>
    <w:rsid w:val="00337DB3"/>
    <w:rsid w:val="0034045B"/>
    <w:rsid w:val="00341302"/>
    <w:rsid w:val="00341807"/>
    <w:rsid w:val="003423AF"/>
    <w:rsid w:val="003427EE"/>
    <w:rsid w:val="00344023"/>
    <w:rsid w:val="0034578E"/>
    <w:rsid w:val="00345EDB"/>
    <w:rsid w:val="00347C7E"/>
    <w:rsid w:val="0035124E"/>
    <w:rsid w:val="00351778"/>
    <w:rsid w:val="00351AC5"/>
    <w:rsid w:val="00351BD1"/>
    <w:rsid w:val="00351D4C"/>
    <w:rsid w:val="003528E6"/>
    <w:rsid w:val="003531CE"/>
    <w:rsid w:val="003539FE"/>
    <w:rsid w:val="00353EDF"/>
    <w:rsid w:val="00354E80"/>
    <w:rsid w:val="0035654E"/>
    <w:rsid w:val="003603FF"/>
    <w:rsid w:val="00360688"/>
    <w:rsid w:val="003612E9"/>
    <w:rsid w:val="00361828"/>
    <w:rsid w:val="00361A07"/>
    <w:rsid w:val="003650E6"/>
    <w:rsid w:val="0036686E"/>
    <w:rsid w:val="003671A2"/>
    <w:rsid w:val="00371206"/>
    <w:rsid w:val="0037145F"/>
    <w:rsid w:val="00375B65"/>
    <w:rsid w:val="00376584"/>
    <w:rsid w:val="00376C1D"/>
    <w:rsid w:val="003770CC"/>
    <w:rsid w:val="003804CD"/>
    <w:rsid w:val="00384316"/>
    <w:rsid w:val="0038489C"/>
    <w:rsid w:val="00384F20"/>
    <w:rsid w:val="0038664A"/>
    <w:rsid w:val="00390D31"/>
    <w:rsid w:val="00392D98"/>
    <w:rsid w:val="00392E29"/>
    <w:rsid w:val="003942EC"/>
    <w:rsid w:val="00395D16"/>
    <w:rsid w:val="00397DF8"/>
    <w:rsid w:val="003A0163"/>
    <w:rsid w:val="003A0D6D"/>
    <w:rsid w:val="003A1D02"/>
    <w:rsid w:val="003A2AC3"/>
    <w:rsid w:val="003A394B"/>
    <w:rsid w:val="003A3C59"/>
    <w:rsid w:val="003A61C3"/>
    <w:rsid w:val="003A7465"/>
    <w:rsid w:val="003B06DE"/>
    <w:rsid w:val="003B276B"/>
    <w:rsid w:val="003B4047"/>
    <w:rsid w:val="003B431D"/>
    <w:rsid w:val="003C063C"/>
    <w:rsid w:val="003C0677"/>
    <w:rsid w:val="003C158B"/>
    <w:rsid w:val="003C2D4B"/>
    <w:rsid w:val="003C69E6"/>
    <w:rsid w:val="003D0058"/>
    <w:rsid w:val="003D04E7"/>
    <w:rsid w:val="003D1071"/>
    <w:rsid w:val="003D10C6"/>
    <w:rsid w:val="003D24E6"/>
    <w:rsid w:val="003D2572"/>
    <w:rsid w:val="003D435E"/>
    <w:rsid w:val="003D4B32"/>
    <w:rsid w:val="003D6E5A"/>
    <w:rsid w:val="003D71FE"/>
    <w:rsid w:val="003D7F98"/>
    <w:rsid w:val="003E026F"/>
    <w:rsid w:val="003E03E7"/>
    <w:rsid w:val="003E1DE5"/>
    <w:rsid w:val="003E25AA"/>
    <w:rsid w:val="003E353D"/>
    <w:rsid w:val="003E52D1"/>
    <w:rsid w:val="003E5569"/>
    <w:rsid w:val="003E5D62"/>
    <w:rsid w:val="003E6370"/>
    <w:rsid w:val="003E7A55"/>
    <w:rsid w:val="003E7C0E"/>
    <w:rsid w:val="003F1C10"/>
    <w:rsid w:val="003F1D4B"/>
    <w:rsid w:val="003F231B"/>
    <w:rsid w:val="003F2E3F"/>
    <w:rsid w:val="003F2E77"/>
    <w:rsid w:val="003F321C"/>
    <w:rsid w:val="003F35C9"/>
    <w:rsid w:val="003F504A"/>
    <w:rsid w:val="003F5721"/>
    <w:rsid w:val="003F5A74"/>
    <w:rsid w:val="003F61F6"/>
    <w:rsid w:val="003F634C"/>
    <w:rsid w:val="003F6A7D"/>
    <w:rsid w:val="003F6BB9"/>
    <w:rsid w:val="003F74D7"/>
    <w:rsid w:val="00400B85"/>
    <w:rsid w:val="00401D03"/>
    <w:rsid w:val="00402823"/>
    <w:rsid w:val="004028B8"/>
    <w:rsid w:val="004036B7"/>
    <w:rsid w:val="00404919"/>
    <w:rsid w:val="00405B79"/>
    <w:rsid w:val="00405D1E"/>
    <w:rsid w:val="00410745"/>
    <w:rsid w:val="00411C6F"/>
    <w:rsid w:val="004136DC"/>
    <w:rsid w:val="00413D3B"/>
    <w:rsid w:val="00414388"/>
    <w:rsid w:val="00416111"/>
    <w:rsid w:val="0041622E"/>
    <w:rsid w:val="004165B5"/>
    <w:rsid w:val="00416E71"/>
    <w:rsid w:val="004170A9"/>
    <w:rsid w:val="004177E7"/>
    <w:rsid w:val="0042031A"/>
    <w:rsid w:val="00420717"/>
    <w:rsid w:val="00421DE1"/>
    <w:rsid w:val="004236FF"/>
    <w:rsid w:val="00423B42"/>
    <w:rsid w:val="00424442"/>
    <w:rsid w:val="004262FA"/>
    <w:rsid w:val="004275BE"/>
    <w:rsid w:val="0042776E"/>
    <w:rsid w:val="00430338"/>
    <w:rsid w:val="00430D4C"/>
    <w:rsid w:val="004319EC"/>
    <w:rsid w:val="00431B6B"/>
    <w:rsid w:val="00431F14"/>
    <w:rsid w:val="004329D3"/>
    <w:rsid w:val="0043405A"/>
    <w:rsid w:val="004342EB"/>
    <w:rsid w:val="00434F54"/>
    <w:rsid w:val="00435D6D"/>
    <w:rsid w:val="00436633"/>
    <w:rsid w:val="00436919"/>
    <w:rsid w:val="00436AFE"/>
    <w:rsid w:val="0044038E"/>
    <w:rsid w:val="004413D3"/>
    <w:rsid w:val="00442828"/>
    <w:rsid w:val="00443671"/>
    <w:rsid w:val="00443BD0"/>
    <w:rsid w:val="00443DD2"/>
    <w:rsid w:val="0044400F"/>
    <w:rsid w:val="0044424E"/>
    <w:rsid w:val="0044532A"/>
    <w:rsid w:val="00450EB5"/>
    <w:rsid w:val="00452348"/>
    <w:rsid w:val="0045306D"/>
    <w:rsid w:val="00453449"/>
    <w:rsid w:val="004534BE"/>
    <w:rsid w:val="00453E3D"/>
    <w:rsid w:val="004554A4"/>
    <w:rsid w:val="004554ED"/>
    <w:rsid w:val="004556B4"/>
    <w:rsid w:val="00456580"/>
    <w:rsid w:val="0045703A"/>
    <w:rsid w:val="0045744B"/>
    <w:rsid w:val="00461095"/>
    <w:rsid w:val="00461E1B"/>
    <w:rsid w:val="0046207F"/>
    <w:rsid w:val="00464020"/>
    <w:rsid w:val="00464330"/>
    <w:rsid w:val="0046482E"/>
    <w:rsid w:val="004648C0"/>
    <w:rsid w:val="00464F80"/>
    <w:rsid w:val="00465145"/>
    <w:rsid w:val="0046534C"/>
    <w:rsid w:val="0046548D"/>
    <w:rsid w:val="004660A3"/>
    <w:rsid w:val="004668CC"/>
    <w:rsid w:val="00467010"/>
    <w:rsid w:val="004672E2"/>
    <w:rsid w:val="004676FC"/>
    <w:rsid w:val="00470690"/>
    <w:rsid w:val="004706E8"/>
    <w:rsid w:val="0047073C"/>
    <w:rsid w:val="00470B14"/>
    <w:rsid w:val="00470E80"/>
    <w:rsid w:val="00472DC0"/>
    <w:rsid w:val="00474886"/>
    <w:rsid w:val="00475506"/>
    <w:rsid w:val="00475DFE"/>
    <w:rsid w:val="00475F02"/>
    <w:rsid w:val="004778A7"/>
    <w:rsid w:val="00477EA0"/>
    <w:rsid w:val="00480E51"/>
    <w:rsid w:val="00481611"/>
    <w:rsid w:val="00482BED"/>
    <w:rsid w:val="004830A1"/>
    <w:rsid w:val="00485F38"/>
    <w:rsid w:val="00486007"/>
    <w:rsid w:val="00487133"/>
    <w:rsid w:val="00487AAE"/>
    <w:rsid w:val="00490830"/>
    <w:rsid w:val="0049134D"/>
    <w:rsid w:val="00492C61"/>
    <w:rsid w:val="004951B1"/>
    <w:rsid w:val="00496667"/>
    <w:rsid w:val="00496E06"/>
    <w:rsid w:val="00497AD2"/>
    <w:rsid w:val="004A0202"/>
    <w:rsid w:val="004A14AC"/>
    <w:rsid w:val="004A46C4"/>
    <w:rsid w:val="004A6867"/>
    <w:rsid w:val="004A7DA8"/>
    <w:rsid w:val="004B0A51"/>
    <w:rsid w:val="004B28E2"/>
    <w:rsid w:val="004B552B"/>
    <w:rsid w:val="004B5FFA"/>
    <w:rsid w:val="004B6D41"/>
    <w:rsid w:val="004C0708"/>
    <w:rsid w:val="004C13AE"/>
    <w:rsid w:val="004C18E7"/>
    <w:rsid w:val="004C279F"/>
    <w:rsid w:val="004C37AF"/>
    <w:rsid w:val="004C521F"/>
    <w:rsid w:val="004C5498"/>
    <w:rsid w:val="004C5E97"/>
    <w:rsid w:val="004C6BF3"/>
    <w:rsid w:val="004C722D"/>
    <w:rsid w:val="004D06EB"/>
    <w:rsid w:val="004D0FDD"/>
    <w:rsid w:val="004D12E3"/>
    <w:rsid w:val="004D17DD"/>
    <w:rsid w:val="004D202A"/>
    <w:rsid w:val="004D22D0"/>
    <w:rsid w:val="004D248C"/>
    <w:rsid w:val="004D2DD9"/>
    <w:rsid w:val="004D3A0E"/>
    <w:rsid w:val="004D4279"/>
    <w:rsid w:val="004D5427"/>
    <w:rsid w:val="004D576C"/>
    <w:rsid w:val="004D59D3"/>
    <w:rsid w:val="004D6D25"/>
    <w:rsid w:val="004D6DF1"/>
    <w:rsid w:val="004E0A34"/>
    <w:rsid w:val="004E20B4"/>
    <w:rsid w:val="004E3003"/>
    <w:rsid w:val="004E3F83"/>
    <w:rsid w:val="004E4656"/>
    <w:rsid w:val="004E637B"/>
    <w:rsid w:val="004E7356"/>
    <w:rsid w:val="004F19E1"/>
    <w:rsid w:val="004F2954"/>
    <w:rsid w:val="004F3FBB"/>
    <w:rsid w:val="004F47D5"/>
    <w:rsid w:val="004F48E6"/>
    <w:rsid w:val="004F766C"/>
    <w:rsid w:val="004F7AD3"/>
    <w:rsid w:val="004F7BD7"/>
    <w:rsid w:val="005000E0"/>
    <w:rsid w:val="00502701"/>
    <w:rsid w:val="00506378"/>
    <w:rsid w:val="00506A80"/>
    <w:rsid w:val="00506DA0"/>
    <w:rsid w:val="00506E2E"/>
    <w:rsid w:val="005070BA"/>
    <w:rsid w:val="00507192"/>
    <w:rsid w:val="00510189"/>
    <w:rsid w:val="00510F2F"/>
    <w:rsid w:val="005137A6"/>
    <w:rsid w:val="00514122"/>
    <w:rsid w:val="00514357"/>
    <w:rsid w:val="0051507D"/>
    <w:rsid w:val="00515437"/>
    <w:rsid w:val="00515D40"/>
    <w:rsid w:val="005162A6"/>
    <w:rsid w:val="005167B3"/>
    <w:rsid w:val="005178EE"/>
    <w:rsid w:val="00517EED"/>
    <w:rsid w:val="005205AC"/>
    <w:rsid w:val="00520FF0"/>
    <w:rsid w:val="005212F5"/>
    <w:rsid w:val="00522BAB"/>
    <w:rsid w:val="00524496"/>
    <w:rsid w:val="005267B7"/>
    <w:rsid w:val="00527138"/>
    <w:rsid w:val="00527A49"/>
    <w:rsid w:val="005319DD"/>
    <w:rsid w:val="0053247D"/>
    <w:rsid w:val="00532EBA"/>
    <w:rsid w:val="0053370B"/>
    <w:rsid w:val="005344A8"/>
    <w:rsid w:val="00534763"/>
    <w:rsid w:val="00534A79"/>
    <w:rsid w:val="00535525"/>
    <w:rsid w:val="00535EC5"/>
    <w:rsid w:val="00536345"/>
    <w:rsid w:val="00537936"/>
    <w:rsid w:val="00541023"/>
    <w:rsid w:val="005410AD"/>
    <w:rsid w:val="0054199D"/>
    <w:rsid w:val="00544A7A"/>
    <w:rsid w:val="00545D39"/>
    <w:rsid w:val="00550E52"/>
    <w:rsid w:val="005512DE"/>
    <w:rsid w:val="005523FD"/>
    <w:rsid w:val="00552AFB"/>
    <w:rsid w:val="00555016"/>
    <w:rsid w:val="005563A8"/>
    <w:rsid w:val="00556A87"/>
    <w:rsid w:val="005609DE"/>
    <w:rsid w:val="0056145B"/>
    <w:rsid w:val="005615DD"/>
    <w:rsid w:val="0056168C"/>
    <w:rsid w:val="005618B1"/>
    <w:rsid w:val="00562330"/>
    <w:rsid w:val="00562AA3"/>
    <w:rsid w:val="00563557"/>
    <w:rsid w:val="00564BAF"/>
    <w:rsid w:val="005652F4"/>
    <w:rsid w:val="00565E76"/>
    <w:rsid w:val="0056672E"/>
    <w:rsid w:val="00566E5A"/>
    <w:rsid w:val="00567252"/>
    <w:rsid w:val="00567D70"/>
    <w:rsid w:val="00567D82"/>
    <w:rsid w:val="00571140"/>
    <w:rsid w:val="00571D78"/>
    <w:rsid w:val="00572840"/>
    <w:rsid w:val="005730C2"/>
    <w:rsid w:val="00573163"/>
    <w:rsid w:val="00574B64"/>
    <w:rsid w:val="005770A9"/>
    <w:rsid w:val="005778E4"/>
    <w:rsid w:val="00581C1C"/>
    <w:rsid w:val="00582346"/>
    <w:rsid w:val="00583DBC"/>
    <w:rsid w:val="00584101"/>
    <w:rsid w:val="00585257"/>
    <w:rsid w:val="00585AE3"/>
    <w:rsid w:val="00586FB6"/>
    <w:rsid w:val="0059085E"/>
    <w:rsid w:val="0059093E"/>
    <w:rsid w:val="005912FA"/>
    <w:rsid w:val="00592D8F"/>
    <w:rsid w:val="00594FEC"/>
    <w:rsid w:val="00595711"/>
    <w:rsid w:val="00595BED"/>
    <w:rsid w:val="005965C9"/>
    <w:rsid w:val="0059670B"/>
    <w:rsid w:val="00596E28"/>
    <w:rsid w:val="005A2F11"/>
    <w:rsid w:val="005A3627"/>
    <w:rsid w:val="005A3F80"/>
    <w:rsid w:val="005A42C6"/>
    <w:rsid w:val="005A4B0E"/>
    <w:rsid w:val="005A6065"/>
    <w:rsid w:val="005A70FC"/>
    <w:rsid w:val="005B1ACB"/>
    <w:rsid w:val="005B3EE9"/>
    <w:rsid w:val="005B4D2E"/>
    <w:rsid w:val="005B4E3D"/>
    <w:rsid w:val="005B58D2"/>
    <w:rsid w:val="005B6720"/>
    <w:rsid w:val="005B78DE"/>
    <w:rsid w:val="005C0D9C"/>
    <w:rsid w:val="005C1542"/>
    <w:rsid w:val="005C179A"/>
    <w:rsid w:val="005C355D"/>
    <w:rsid w:val="005C3A18"/>
    <w:rsid w:val="005C3DA5"/>
    <w:rsid w:val="005C6661"/>
    <w:rsid w:val="005D0731"/>
    <w:rsid w:val="005D39EE"/>
    <w:rsid w:val="005D46E3"/>
    <w:rsid w:val="005D57AB"/>
    <w:rsid w:val="005D5B61"/>
    <w:rsid w:val="005D79D4"/>
    <w:rsid w:val="005E0D74"/>
    <w:rsid w:val="005E1D3C"/>
    <w:rsid w:val="005E4158"/>
    <w:rsid w:val="005E4A24"/>
    <w:rsid w:val="005E4ED8"/>
    <w:rsid w:val="005E618B"/>
    <w:rsid w:val="005E67BC"/>
    <w:rsid w:val="005E7D50"/>
    <w:rsid w:val="005F2D7C"/>
    <w:rsid w:val="005F57F1"/>
    <w:rsid w:val="005F611A"/>
    <w:rsid w:val="005F7CB0"/>
    <w:rsid w:val="005F7E5E"/>
    <w:rsid w:val="006004C0"/>
    <w:rsid w:val="006009E8"/>
    <w:rsid w:val="00603693"/>
    <w:rsid w:val="0060390C"/>
    <w:rsid w:val="00603A3D"/>
    <w:rsid w:val="006047DD"/>
    <w:rsid w:val="006053A2"/>
    <w:rsid w:val="00606365"/>
    <w:rsid w:val="0060678A"/>
    <w:rsid w:val="00606A95"/>
    <w:rsid w:val="00610465"/>
    <w:rsid w:val="00610F18"/>
    <w:rsid w:val="00612168"/>
    <w:rsid w:val="00612D6F"/>
    <w:rsid w:val="0061385D"/>
    <w:rsid w:val="00613C14"/>
    <w:rsid w:val="00613CBA"/>
    <w:rsid w:val="00615488"/>
    <w:rsid w:val="00615F22"/>
    <w:rsid w:val="00616803"/>
    <w:rsid w:val="00616EB7"/>
    <w:rsid w:val="00617390"/>
    <w:rsid w:val="00617E65"/>
    <w:rsid w:val="0062011D"/>
    <w:rsid w:val="00621210"/>
    <w:rsid w:val="0062179C"/>
    <w:rsid w:val="00623731"/>
    <w:rsid w:val="00626FA6"/>
    <w:rsid w:val="00627E5D"/>
    <w:rsid w:val="00630212"/>
    <w:rsid w:val="0063194C"/>
    <w:rsid w:val="0063297D"/>
    <w:rsid w:val="0063368F"/>
    <w:rsid w:val="00636630"/>
    <w:rsid w:val="00637E96"/>
    <w:rsid w:val="00641510"/>
    <w:rsid w:val="0064261C"/>
    <w:rsid w:val="0064389A"/>
    <w:rsid w:val="0064425C"/>
    <w:rsid w:val="0064499B"/>
    <w:rsid w:val="00645BC0"/>
    <w:rsid w:val="00647150"/>
    <w:rsid w:val="006472BF"/>
    <w:rsid w:val="0064790F"/>
    <w:rsid w:val="00647ED0"/>
    <w:rsid w:val="00647FFD"/>
    <w:rsid w:val="006518B4"/>
    <w:rsid w:val="00652C14"/>
    <w:rsid w:val="00652D3B"/>
    <w:rsid w:val="00653205"/>
    <w:rsid w:val="00653512"/>
    <w:rsid w:val="0065415D"/>
    <w:rsid w:val="006549ED"/>
    <w:rsid w:val="00654FF8"/>
    <w:rsid w:val="00655779"/>
    <w:rsid w:val="00657174"/>
    <w:rsid w:val="00661A46"/>
    <w:rsid w:val="0066223C"/>
    <w:rsid w:val="00662585"/>
    <w:rsid w:val="0066417E"/>
    <w:rsid w:val="006645C2"/>
    <w:rsid w:val="006645D9"/>
    <w:rsid w:val="00664F09"/>
    <w:rsid w:val="006654B2"/>
    <w:rsid w:val="00665B2D"/>
    <w:rsid w:val="006675C1"/>
    <w:rsid w:val="006717B6"/>
    <w:rsid w:val="0067181C"/>
    <w:rsid w:val="00671CFD"/>
    <w:rsid w:val="00673416"/>
    <w:rsid w:val="00673830"/>
    <w:rsid w:val="00675787"/>
    <w:rsid w:val="006805B9"/>
    <w:rsid w:val="00681431"/>
    <w:rsid w:val="00682680"/>
    <w:rsid w:val="00682A7D"/>
    <w:rsid w:val="00683007"/>
    <w:rsid w:val="0068603A"/>
    <w:rsid w:val="0068757D"/>
    <w:rsid w:val="006877E7"/>
    <w:rsid w:val="00691993"/>
    <w:rsid w:val="006945BE"/>
    <w:rsid w:val="00695D81"/>
    <w:rsid w:val="006969F6"/>
    <w:rsid w:val="00696F7D"/>
    <w:rsid w:val="0069729D"/>
    <w:rsid w:val="006A0628"/>
    <w:rsid w:val="006A09A2"/>
    <w:rsid w:val="006A36F6"/>
    <w:rsid w:val="006A3B1A"/>
    <w:rsid w:val="006A3E5A"/>
    <w:rsid w:val="006A3FAB"/>
    <w:rsid w:val="006A5406"/>
    <w:rsid w:val="006A604C"/>
    <w:rsid w:val="006A76D4"/>
    <w:rsid w:val="006B0156"/>
    <w:rsid w:val="006B0A9B"/>
    <w:rsid w:val="006B1CCC"/>
    <w:rsid w:val="006B27B1"/>
    <w:rsid w:val="006B2C09"/>
    <w:rsid w:val="006B2C39"/>
    <w:rsid w:val="006B47A8"/>
    <w:rsid w:val="006B5296"/>
    <w:rsid w:val="006B5A95"/>
    <w:rsid w:val="006B635D"/>
    <w:rsid w:val="006B7401"/>
    <w:rsid w:val="006B7BF0"/>
    <w:rsid w:val="006C0A1C"/>
    <w:rsid w:val="006C1C10"/>
    <w:rsid w:val="006C2B4A"/>
    <w:rsid w:val="006C30BE"/>
    <w:rsid w:val="006C331B"/>
    <w:rsid w:val="006C3627"/>
    <w:rsid w:val="006C4743"/>
    <w:rsid w:val="006C5060"/>
    <w:rsid w:val="006C56F2"/>
    <w:rsid w:val="006C6443"/>
    <w:rsid w:val="006C6F93"/>
    <w:rsid w:val="006C74EE"/>
    <w:rsid w:val="006C7E20"/>
    <w:rsid w:val="006D1946"/>
    <w:rsid w:val="006D2174"/>
    <w:rsid w:val="006D30D3"/>
    <w:rsid w:val="006D46A8"/>
    <w:rsid w:val="006D5179"/>
    <w:rsid w:val="006E08A5"/>
    <w:rsid w:val="006E156A"/>
    <w:rsid w:val="006E2871"/>
    <w:rsid w:val="006E32F0"/>
    <w:rsid w:val="006E3829"/>
    <w:rsid w:val="006E5F7D"/>
    <w:rsid w:val="006E70C2"/>
    <w:rsid w:val="006F03F0"/>
    <w:rsid w:val="006F0F81"/>
    <w:rsid w:val="006F3E21"/>
    <w:rsid w:val="006F4265"/>
    <w:rsid w:val="006F4CA4"/>
    <w:rsid w:val="006F4CBD"/>
    <w:rsid w:val="0070092B"/>
    <w:rsid w:val="00700DB8"/>
    <w:rsid w:val="00701896"/>
    <w:rsid w:val="00701AA4"/>
    <w:rsid w:val="007052EE"/>
    <w:rsid w:val="00706176"/>
    <w:rsid w:val="007065D3"/>
    <w:rsid w:val="00706AAA"/>
    <w:rsid w:val="00710E16"/>
    <w:rsid w:val="007122E3"/>
    <w:rsid w:val="00714226"/>
    <w:rsid w:val="00714520"/>
    <w:rsid w:val="00715C74"/>
    <w:rsid w:val="007170F1"/>
    <w:rsid w:val="0072266A"/>
    <w:rsid w:val="00722F2E"/>
    <w:rsid w:val="0072300D"/>
    <w:rsid w:val="0072321E"/>
    <w:rsid w:val="00723ECF"/>
    <w:rsid w:val="00724CB1"/>
    <w:rsid w:val="00726817"/>
    <w:rsid w:val="00726E45"/>
    <w:rsid w:val="0072714B"/>
    <w:rsid w:val="007312B1"/>
    <w:rsid w:val="00731921"/>
    <w:rsid w:val="007326D4"/>
    <w:rsid w:val="00732729"/>
    <w:rsid w:val="007341E2"/>
    <w:rsid w:val="0073492C"/>
    <w:rsid w:val="00736529"/>
    <w:rsid w:val="00737B56"/>
    <w:rsid w:val="007416C6"/>
    <w:rsid w:val="007434B8"/>
    <w:rsid w:val="00743826"/>
    <w:rsid w:val="00744020"/>
    <w:rsid w:val="00744AFA"/>
    <w:rsid w:val="0074608C"/>
    <w:rsid w:val="0074686F"/>
    <w:rsid w:val="00746E6C"/>
    <w:rsid w:val="00747712"/>
    <w:rsid w:val="00747F3B"/>
    <w:rsid w:val="0075011C"/>
    <w:rsid w:val="00751561"/>
    <w:rsid w:val="007516E9"/>
    <w:rsid w:val="00752A95"/>
    <w:rsid w:val="007530BE"/>
    <w:rsid w:val="007542A2"/>
    <w:rsid w:val="00756F71"/>
    <w:rsid w:val="0075725B"/>
    <w:rsid w:val="00760EEB"/>
    <w:rsid w:val="007626EC"/>
    <w:rsid w:val="00763120"/>
    <w:rsid w:val="00766CF2"/>
    <w:rsid w:val="007677E9"/>
    <w:rsid w:val="007724B1"/>
    <w:rsid w:val="00772902"/>
    <w:rsid w:val="0077294B"/>
    <w:rsid w:val="00773400"/>
    <w:rsid w:val="0077348E"/>
    <w:rsid w:val="00773E20"/>
    <w:rsid w:val="007740CA"/>
    <w:rsid w:val="00774136"/>
    <w:rsid w:val="00774668"/>
    <w:rsid w:val="0077538C"/>
    <w:rsid w:val="007757C1"/>
    <w:rsid w:val="007769E7"/>
    <w:rsid w:val="00776D93"/>
    <w:rsid w:val="0077766C"/>
    <w:rsid w:val="007808C5"/>
    <w:rsid w:val="0078101B"/>
    <w:rsid w:val="007823FF"/>
    <w:rsid w:val="0078317E"/>
    <w:rsid w:val="00784684"/>
    <w:rsid w:val="00785061"/>
    <w:rsid w:val="00786773"/>
    <w:rsid w:val="00786936"/>
    <w:rsid w:val="0079038A"/>
    <w:rsid w:val="007912A5"/>
    <w:rsid w:val="0079162A"/>
    <w:rsid w:val="00792DA3"/>
    <w:rsid w:val="00794BFA"/>
    <w:rsid w:val="0079578B"/>
    <w:rsid w:val="007959BA"/>
    <w:rsid w:val="007961CB"/>
    <w:rsid w:val="0079705F"/>
    <w:rsid w:val="007A48EB"/>
    <w:rsid w:val="007A4E5A"/>
    <w:rsid w:val="007A64C2"/>
    <w:rsid w:val="007A68FE"/>
    <w:rsid w:val="007A6ACD"/>
    <w:rsid w:val="007A74B0"/>
    <w:rsid w:val="007B0AB7"/>
    <w:rsid w:val="007B1210"/>
    <w:rsid w:val="007B13E5"/>
    <w:rsid w:val="007B1574"/>
    <w:rsid w:val="007B276D"/>
    <w:rsid w:val="007B29B5"/>
    <w:rsid w:val="007B5088"/>
    <w:rsid w:val="007B50BB"/>
    <w:rsid w:val="007B5622"/>
    <w:rsid w:val="007B6E5D"/>
    <w:rsid w:val="007B7ABA"/>
    <w:rsid w:val="007C0193"/>
    <w:rsid w:val="007C1474"/>
    <w:rsid w:val="007C181E"/>
    <w:rsid w:val="007C20A1"/>
    <w:rsid w:val="007C4486"/>
    <w:rsid w:val="007C45EF"/>
    <w:rsid w:val="007C4CF2"/>
    <w:rsid w:val="007C5111"/>
    <w:rsid w:val="007C5AE0"/>
    <w:rsid w:val="007C5D37"/>
    <w:rsid w:val="007C71AF"/>
    <w:rsid w:val="007C73E2"/>
    <w:rsid w:val="007D0ED0"/>
    <w:rsid w:val="007D153E"/>
    <w:rsid w:val="007D1B3E"/>
    <w:rsid w:val="007D294F"/>
    <w:rsid w:val="007D34D1"/>
    <w:rsid w:val="007D4111"/>
    <w:rsid w:val="007D4C8B"/>
    <w:rsid w:val="007D4CCD"/>
    <w:rsid w:val="007D51DD"/>
    <w:rsid w:val="007D5E3B"/>
    <w:rsid w:val="007D72CE"/>
    <w:rsid w:val="007E105E"/>
    <w:rsid w:val="007E16D6"/>
    <w:rsid w:val="007E1772"/>
    <w:rsid w:val="007E4EB9"/>
    <w:rsid w:val="007E56E7"/>
    <w:rsid w:val="007E5B72"/>
    <w:rsid w:val="007E638B"/>
    <w:rsid w:val="007E6790"/>
    <w:rsid w:val="007E71E4"/>
    <w:rsid w:val="007F0744"/>
    <w:rsid w:val="007F07C0"/>
    <w:rsid w:val="007F11A0"/>
    <w:rsid w:val="007F2811"/>
    <w:rsid w:val="007F3B00"/>
    <w:rsid w:val="007F587E"/>
    <w:rsid w:val="007F5E85"/>
    <w:rsid w:val="0080303D"/>
    <w:rsid w:val="0080357B"/>
    <w:rsid w:val="00804168"/>
    <w:rsid w:val="008042EB"/>
    <w:rsid w:val="0080583E"/>
    <w:rsid w:val="00806489"/>
    <w:rsid w:val="008065A0"/>
    <w:rsid w:val="00807CB2"/>
    <w:rsid w:val="00810E12"/>
    <w:rsid w:val="00813C6D"/>
    <w:rsid w:val="008146D8"/>
    <w:rsid w:val="008146EA"/>
    <w:rsid w:val="008165EB"/>
    <w:rsid w:val="008166F2"/>
    <w:rsid w:val="008178A1"/>
    <w:rsid w:val="00822438"/>
    <w:rsid w:val="00822F21"/>
    <w:rsid w:val="008238EF"/>
    <w:rsid w:val="008256A1"/>
    <w:rsid w:val="00825D65"/>
    <w:rsid w:val="00825EA8"/>
    <w:rsid w:val="0082704E"/>
    <w:rsid w:val="0082773A"/>
    <w:rsid w:val="00830248"/>
    <w:rsid w:val="0083056A"/>
    <w:rsid w:val="008312FE"/>
    <w:rsid w:val="00832476"/>
    <w:rsid w:val="00832621"/>
    <w:rsid w:val="008341B1"/>
    <w:rsid w:val="008343CF"/>
    <w:rsid w:val="008354AE"/>
    <w:rsid w:val="00836591"/>
    <w:rsid w:val="00837833"/>
    <w:rsid w:val="00841ACB"/>
    <w:rsid w:val="008421D6"/>
    <w:rsid w:val="00843978"/>
    <w:rsid w:val="008439AD"/>
    <w:rsid w:val="00843EAA"/>
    <w:rsid w:val="00843EC7"/>
    <w:rsid w:val="00846868"/>
    <w:rsid w:val="00847628"/>
    <w:rsid w:val="008516BA"/>
    <w:rsid w:val="008527AA"/>
    <w:rsid w:val="00853893"/>
    <w:rsid w:val="00853BC0"/>
    <w:rsid w:val="008559BE"/>
    <w:rsid w:val="00856E46"/>
    <w:rsid w:val="00860578"/>
    <w:rsid w:val="00861BBD"/>
    <w:rsid w:val="00861DA2"/>
    <w:rsid w:val="0086274E"/>
    <w:rsid w:val="00865772"/>
    <w:rsid w:val="00865B11"/>
    <w:rsid w:val="008661FF"/>
    <w:rsid w:val="0086638D"/>
    <w:rsid w:val="00866FBF"/>
    <w:rsid w:val="00867E42"/>
    <w:rsid w:val="008729B5"/>
    <w:rsid w:val="00873777"/>
    <w:rsid w:val="008744D1"/>
    <w:rsid w:val="0087639B"/>
    <w:rsid w:val="008772ED"/>
    <w:rsid w:val="00877657"/>
    <w:rsid w:val="00877DFD"/>
    <w:rsid w:val="008826FA"/>
    <w:rsid w:val="00882E23"/>
    <w:rsid w:val="0088330A"/>
    <w:rsid w:val="008834C7"/>
    <w:rsid w:val="00883518"/>
    <w:rsid w:val="008836D6"/>
    <w:rsid w:val="00883D30"/>
    <w:rsid w:val="00883D6D"/>
    <w:rsid w:val="008842FE"/>
    <w:rsid w:val="00886985"/>
    <w:rsid w:val="00887093"/>
    <w:rsid w:val="00887170"/>
    <w:rsid w:val="00890A12"/>
    <w:rsid w:val="008914EF"/>
    <w:rsid w:val="00892A05"/>
    <w:rsid w:val="00892F5F"/>
    <w:rsid w:val="00894C8F"/>
    <w:rsid w:val="008960D3"/>
    <w:rsid w:val="0089620B"/>
    <w:rsid w:val="00896F23"/>
    <w:rsid w:val="008977ED"/>
    <w:rsid w:val="008A1C5F"/>
    <w:rsid w:val="008A2987"/>
    <w:rsid w:val="008A3076"/>
    <w:rsid w:val="008A33A4"/>
    <w:rsid w:val="008A7038"/>
    <w:rsid w:val="008B018F"/>
    <w:rsid w:val="008B1222"/>
    <w:rsid w:val="008B3216"/>
    <w:rsid w:val="008B6E4F"/>
    <w:rsid w:val="008B790C"/>
    <w:rsid w:val="008B79B6"/>
    <w:rsid w:val="008C1A16"/>
    <w:rsid w:val="008C61EE"/>
    <w:rsid w:val="008C6AA3"/>
    <w:rsid w:val="008C7CE4"/>
    <w:rsid w:val="008D1C95"/>
    <w:rsid w:val="008D3742"/>
    <w:rsid w:val="008D37D8"/>
    <w:rsid w:val="008D3CDC"/>
    <w:rsid w:val="008D4366"/>
    <w:rsid w:val="008D4886"/>
    <w:rsid w:val="008D5228"/>
    <w:rsid w:val="008D5232"/>
    <w:rsid w:val="008D7297"/>
    <w:rsid w:val="008D78EE"/>
    <w:rsid w:val="008D7A51"/>
    <w:rsid w:val="008D7DD0"/>
    <w:rsid w:val="008E0FE6"/>
    <w:rsid w:val="008E12CF"/>
    <w:rsid w:val="008E1EFC"/>
    <w:rsid w:val="008E5DA4"/>
    <w:rsid w:val="008E5EBD"/>
    <w:rsid w:val="008E6D2B"/>
    <w:rsid w:val="008E7567"/>
    <w:rsid w:val="008E785B"/>
    <w:rsid w:val="008F0622"/>
    <w:rsid w:val="008F0A46"/>
    <w:rsid w:val="008F1241"/>
    <w:rsid w:val="008F1530"/>
    <w:rsid w:val="008F1A4E"/>
    <w:rsid w:val="008F1C5C"/>
    <w:rsid w:val="008F2449"/>
    <w:rsid w:val="008F37AD"/>
    <w:rsid w:val="008F412C"/>
    <w:rsid w:val="008F4710"/>
    <w:rsid w:val="008F5B7B"/>
    <w:rsid w:val="008F6165"/>
    <w:rsid w:val="008F65E7"/>
    <w:rsid w:val="008F6C9E"/>
    <w:rsid w:val="008F7270"/>
    <w:rsid w:val="0090092D"/>
    <w:rsid w:val="009018B1"/>
    <w:rsid w:val="00902BEE"/>
    <w:rsid w:val="00902EE1"/>
    <w:rsid w:val="0090339A"/>
    <w:rsid w:val="00903B37"/>
    <w:rsid w:val="00904C96"/>
    <w:rsid w:val="009058AD"/>
    <w:rsid w:val="0091225F"/>
    <w:rsid w:val="00912EEF"/>
    <w:rsid w:val="00913EB1"/>
    <w:rsid w:val="009141EC"/>
    <w:rsid w:val="00914E99"/>
    <w:rsid w:val="00916B8B"/>
    <w:rsid w:val="009171FA"/>
    <w:rsid w:val="009178DF"/>
    <w:rsid w:val="0092049D"/>
    <w:rsid w:val="00920A65"/>
    <w:rsid w:val="00920CAF"/>
    <w:rsid w:val="009213E9"/>
    <w:rsid w:val="0092374A"/>
    <w:rsid w:val="00923B21"/>
    <w:rsid w:val="00924A48"/>
    <w:rsid w:val="00924F5F"/>
    <w:rsid w:val="00927CB9"/>
    <w:rsid w:val="00927F03"/>
    <w:rsid w:val="009311C8"/>
    <w:rsid w:val="009323CB"/>
    <w:rsid w:val="00932E3B"/>
    <w:rsid w:val="0093402F"/>
    <w:rsid w:val="009340E5"/>
    <w:rsid w:val="0093446C"/>
    <w:rsid w:val="00935BCE"/>
    <w:rsid w:val="0093678F"/>
    <w:rsid w:val="009375D8"/>
    <w:rsid w:val="00940734"/>
    <w:rsid w:val="00940BFA"/>
    <w:rsid w:val="00943E81"/>
    <w:rsid w:val="0094422D"/>
    <w:rsid w:val="009475B1"/>
    <w:rsid w:val="0095049B"/>
    <w:rsid w:val="00951EEC"/>
    <w:rsid w:val="00952618"/>
    <w:rsid w:val="009538B5"/>
    <w:rsid w:val="009551F4"/>
    <w:rsid w:val="009558D4"/>
    <w:rsid w:val="009567E2"/>
    <w:rsid w:val="009609B3"/>
    <w:rsid w:val="00961257"/>
    <w:rsid w:val="00962464"/>
    <w:rsid w:val="009625DC"/>
    <w:rsid w:val="0096306E"/>
    <w:rsid w:val="00965DD8"/>
    <w:rsid w:val="00965EFD"/>
    <w:rsid w:val="00966391"/>
    <w:rsid w:val="00967E9B"/>
    <w:rsid w:val="00972647"/>
    <w:rsid w:val="00972F70"/>
    <w:rsid w:val="009734F7"/>
    <w:rsid w:val="00974A6C"/>
    <w:rsid w:val="009773C1"/>
    <w:rsid w:val="00977600"/>
    <w:rsid w:val="009814BB"/>
    <w:rsid w:val="009814F8"/>
    <w:rsid w:val="009816C9"/>
    <w:rsid w:val="00981BE0"/>
    <w:rsid w:val="00981DED"/>
    <w:rsid w:val="00982C15"/>
    <w:rsid w:val="00983FB1"/>
    <w:rsid w:val="00984B14"/>
    <w:rsid w:val="00984E8A"/>
    <w:rsid w:val="0098501D"/>
    <w:rsid w:val="0099068C"/>
    <w:rsid w:val="00991663"/>
    <w:rsid w:val="0099319A"/>
    <w:rsid w:val="00994005"/>
    <w:rsid w:val="0099407B"/>
    <w:rsid w:val="00995696"/>
    <w:rsid w:val="00995EC4"/>
    <w:rsid w:val="009A1F2D"/>
    <w:rsid w:val="009A2541"/>
    <w:rsid w:val="009A3628"/>
    <w:rsid w:val="009A3786"/>
    <w:rsid w:val="009A3984"/>
    <w:rsid w:val="009A405D"/>
    <w:rsid w:val="009A4CB4"/>
    <w:rsid w:val="009A53DB"/>
    <w:rsid w:val="009A61AA"/>
    <w:rsid w:val="009B0806"/>
    <w:rsid w:val="009B0F15"/>
    <w:rsid w:val="009B18C5"/>
    <w:rsid w:val="009B1A53"/>
    <w:rsid w:val="009B26A9"/>
    <w:rsid w:val="009B2AF0"/>
    <w:rsid w:val="009B39BF"/>
    <w:rsid w:val="009B60A2"/>
    <w:rsid w:val="009B761B"/>
    <w:rsid w:val="009C08A3"/>
    <w:rsid w:val="009C1032"/>
    <w:rsid w:val="009C2543"/>
    <w:rsid w:val="009C2E62"/>
    <w:rsid w:val="009C3664"/>
    <w:rsid w:val="009C5C85"/>
    <w:rsid w:val="009C7275"/>
    <w:rsid w:val="009D089D"/>
    <w:rsid w:val="009D1675"/>
    <w:rsid w:val="009D3146"/>
    <w:rsid w:val="009D32CA"/>
    <w:rsid w:val="009D3914"/>
    <w:rsid w:val="009D3CED"/>
    <w:rsid w:val="009D42BF"/>
    <w:rsid w:val="009D50DB"/>
    <w:rsid w:val="009D6FDC"/>
    <w:rsid w:val="009E02DA"/>
    <w:rsid w:val="009E0B38"/>
    <w:rsid w:val="009E0CA0"/>
    <w:rsid w:val="009E2447"/>
    <w:rsid w:val="009E26D1"/>
    <w:rsid w:val="009E4458"/>
    <w:rsid w:val="009E4BEB"/>
    <w:rsid w:val="009E61C6"/>
    <w:rsid w:val="009E6B92"/>
    <w:rsid w:val="009E6F7D"/>
    <w:rsid w:val="009E7911"/>
    <w:rsid w:val="009F1962"/>
    <w:rsid w:val="009F2A95"/>
    <w:rsid w:val="009F73F7"/>
    <w:rsid w:val="009F757A"/>
    <w:rsid w:val="009F7C13"/>
    <w:rsid w:val="009F7D43"/>
    <w:rsid w:val="00A0025C"/>
    <w:rsid w:val="00A004F1"/>
    <w:rsid w:val="00A0072C"/>
    <w:rsid w:val="00A01447"/>
    <w:rsid w:val="00A0308B"/>
    <w:rsid w:val="00A04353"/>
    <w:rsid w:val="00A05002"/>
    <w:rsid w:val="00A06864"/>
    <w:rsid w:val="00A06A7D"/>
    <w:rsid w:val="00A07553"/>
    <w:rsid w:val="00A10E5F"/>
    <w:rsid w:val="00A11F30"/>
    <w:rsid w:val="00A125C6"/>
    <w:rsid w:val="00A126BB"/>
    <w:rsid w:val="00A12D39"/>
    <w:rsid w:val="00A1378E"/>
    <w:rsid w:val="00A15874"/>
    <w:rsid w:val="00A1662E"/>
    <w:rsid w:val="00A16DA8"/>
    <w:rsid w:val="00A17108"/>
    <w:rsid w:val="00A1777C"/>
    <w:rsid w:val="00A2010D"/>
    <w:rsid w:val="00A20C67"/>
    <w:rsid w:val="00A20E15"/>
    <w:rsid w:val="00A21D76"/>
    <w:rsid w:val="00A257A0"/>
    <w:rsid w:val="00A2680C"/>
    <w:rsid w:val="00A26F73"/>
    <w:rsid w:val="00A27E4D"/>
    <w:rsid w:val="00A31203"/>
    <w:rsid w:val="00A31942"/>
    <w:rsid w:val="00A31A35"/>
    <w:rsid w:val="00A31B65"/>
    <w:rsid w:val="00A32361"/>
    <w:rsid w:val="00A32815"/>
    <w:rsid w:val="00A32DBC"/>
    <w:rsid w:val="00A33330"/>
    <w:rsid w:val="00A33729"/>
    <w:rsid w:val="00A34AE5"/>
    <w:rsid w:val="00A35161"/>
    <w:rsid w:val="00A35598"/>
    <w:rsid w:val="00A35D23"/>
    <w:rsid w:val="00A37616"/>
    <w:rsid w:val="00A41A77"/>
    <w:rsid w:val="00A426FE"/>
    <w:rsid w:val="00A44223"/>
    <w:rsid w:val="00A4481B"/>
    <w:rsid w:val="00A45769"/>
    <w:rsid w:val="00A4582A"/>
    <w:rsid w:val="00A47727"/>
    <w:rsid w:val="00A510C5"/>
    <w:rsid w:val="00A51390"/>
    <w:rsid w:val="00A51633"/>
    <w:rsid w:val="00A53C7B"/>
    <w:rsid w:val="00A541A6"/>
    <w:rsid w:val="00A546A8"/>
    <w:rsid w:val="00A54762"/>
    <w:rsid w:val="00A54903"/>
    <w:rsid w:val="00A54AF4"/>
    <w:rsid w:val="00A54D46"/>
    <w:rsid w:val="00A56F69"/>
    <w:rsid w:val="00A603B4"/>
    <w:rsid w:val="00A60C0D"/>
    <w:rsid w:val="00A60CB2"/>
    <w:rsid w:val="00A62372"/>
    <w:rsid w:val="00A631BB"/>
    <w:rsid w:val="00A64A21"/>
    <w:rsid w:val="00A65636"/>
    <w:rsid w:val="00A66594"/>
    <w:rsid w:val="00A676F9"/>
    <w:rsid w:val="00A70767"/>
    <w:rsid w:val="00A709DB"/>
    <w:rsid w:val="00A70F61"/>
    <w:rsid w:val="00A72472"/>
    <w:rsid w:val="00A72ACC"/>
    <w:rsid w:val="00A73668"/>
    <w:rsid w:val="00A74134"/>
    <w:rsid w:val="00A74529"/>
    <w:rsid w:val="00A756EF"/>
    <w:rsid w:val="00A766A7"/>
    <w:rsid w:val="00A76815"/>
    <w:rsid w:val="00A80508"/>
    <w:rsid w:val="00A805F3"/>
    <w:rsid w:val="00A81345"/>
    <w:rsid w:val="00A839F4"/>
    <w:rsid w:val="00A843E4"/>
    <w:rsid w:val="00A862BD"/>
    <w:rsid w:val="00A91CB6"/>
    <w:rsid w:val="00A924CF"/>
    <w:rsid w:val="00A92BE1"/>
    <w:rsid w:val="00A94516"/>
    <w:rsid w:val="00A94A72"/>
    <w:rsid w:val="00A94AAF"/>
    <w:rsid w:val="00A95E3F"/>
    <w:rsid w:val="00A96516"/>
    <w:rsid w:val="00A9667D"/>
    <w:rsid w:val="00A96957"/>
    <w:rsid w:val="00AA0494"/>
    <w:rsid w:val="00AA2B23"/>
    <w:rsid w:val="00AA2E8C"/>
    <w:rsid w:val="00AA424E"/>
    <w:rsid w:val="00AA444B"/>
    <w:rsid w:val="00AA4AF4"/>
    <w:rsid w:val="00AA692C"/>
    <w:rsid w:val="00AA6A9C"/>
    <w:rsid w:val="00AB293F"/>
    <w:rsid w:val="00AB2B66"/>
    <w:rsid w:val="00AB56B7"/>
    <w:rsid w:val="00AB5760"/>
    <w:rsid w:val="00AB58A1"/>
    <w:rsid w:val="00AB6309"/>
    <w:rsid w:val="00AB6395"/>
    <w:rsid w:val="00AB678E"/>
    <w:rsid w:val="00AC0336"/>
    <w:rsid w:val="00AC0F32"/>
    <w:rsid w:val="00AC1089"/>
    <w:rsid w:val="00AC13F1"/>
    <w:rsid w:val="00AC2791"/>
    <w:rsid w:val="00AC39A5"/>
    <w:rsid w:val="00AC4403"/>
    <w:rsid w:val="00AC5567"/>
    <w:rsid w:val="00AC62D2"/>
    <w:rsid w:val="00AD0820"/>
    <w:rsid w:val="00AD1A00"/>
    <w:rsid w:val="00AD2213"/>
    <w:rsid w:val="00AD2E28"/>
    <w:rsid w:val="00AD40EA"/>
    <w:rsid w:val="00AD53A9"/>
    <w:rsid w:val="00AD62AF"/>
    <w:rsid w:val="00AD64BC"/>
    <w:rsid w:val="00AD71BD"/>
    <w:rsid w:val="00AE1570"/>
    <w:rsid w:val="00AE15B9"/>
    <w:rsid w:val="00AE19F0"/>
    <w:rsid w:val="00AE1A3F"/>
    <w:rsid w:val="00AE2126"/>
    <w:rsid w:val="00AE3644"/>
    <w:rsid w:val="00AE373D"/>
    <w:rsid w:val="00AE57C5"/>
    <w:rsid w:val="00AE6363"/>
    <w:rsid w:val="00AE6435"/>
    <w:rsid w:val="00AE6DB9"/>
    <w:rsid w:val="00AF1C0D"/>
    <w:rsid w:val="00AF2C19"/>
    <w:rsid w:val="00AF4DC8"/>
    <w:rsid w:val="00AF5303"/>
    <w:rsid w:val="00AF68C4"/>
    <w:rsid w:val="00AF6EB5"/>
    <w:rsid w:val="00AF7890"/>
    <w:rsid w:val="00B00800"/>
    <w:rsid w:val="00B01224"/>
    <w:rsid w:val="00B0369C"/>
    <w:rsid w:val="00B0575B"/>
    <w:rsid w:val="00B0662F"/>
    <w:rsid w:val="00B11F58"/>
    <w:rsid w:val="00B130C4"/>
    <w:rsid w:val="00B1449D"/>
    <w:rsid w:val="00B1641B"/>
    <w:rsid w:val="00B16C05"/>
    <w:rsid w:val="00B16DA8"/>
    <w:rsid w:val="00B20913"/>
    <w:rsid w:val="00B23ADC"/>
    <w:rsid w:val="00B243FF"/>
    <w:rsid w:val="00B263AB"/>
    <w:rsid w:val="00B26511"/>
    <w:rsid w:val="00B26C0F"/>
    <w:rsid w:val="00B31E54"/>
    <w:rsid w:val="00B33C50"/>
    <w:rsid w:val="00B33E0E"/>
    <w:rsid w:val="00B34006"/>
    <w:rsid w:val="00B34CC7"/>
    <w:rsid w:val="00B35A24"/>
    <w:rsid w:val="00B35B4F"/>
    <w:rsid w:val="00B37199"/>
    <w:rsid w:val="00B37CA0"/>
    <w:rsid w:val="00B406A2"/>
    <w:rsid w:val="00B4195B"/>
    <w:rsid w:val="00B42608"/>
    <w:rsid w:val="00B44302"/>
    <w:rsid w:val="00B44858"/>
    <w:rsid w:val="00B46485"/>
    <w:rsid w:val="00B4650D"/>
    <w:rsid w:val="00B4653E"/>
    <w:rsid w:val="00B46EB7"/>
    <w:rsid w:val="00B5026E"/>
    <w:rsid w:val="00B5139D"/>
    <w:rsid w:val="00B51520"/>
    <w:rsid w:val="00B5198A"/>
    <w:rsid w:val="00B522E7"/>
    <w:rsid w:val="00B52A54"/>
    <w:rsid w:val="00B53D94"/>
    <w:rsid w:val="00B543E9"/>
    <w:rsid w:val="00B549D8"/>
    <w:rsid w:val="00B5587A"/>
    <w:rsid w:val="00B569A5"/>
    <w:rsid w:val="00B569CB"/>
    <w:rsid w:val="00B56D8F"/>
    <w:rsid w:val="00B57616"/>
    <w:rsid w:val="00B60D6F"/>
    <w:rsid w:val="00B6376D"/>
    <w:rsid w:val="00B6389A"/>
    <w:rsid w:val="00B650DF"/>
    <w:rsid w:val="00B65CA8"/>
    <w:rsid w:val="00B66F84"/>
    <w:rsid w:val="00B6760D"/>
    <w:rsid w:val="00B711E4"/>
    <w:rsid w:val="00B71CF6"/>
    <w:rsid w:val="00B72D54"/>
    <w:rsid w:val="00B73228"/>
    <w:rsid w:val="00B74E84"/>
    <w:rsid w:val="00B77FFD"/>
    <w:rsid w:val="00B800B4"/>
    <w:rsid w:val="00B802BD"/>
    <w:rsid w:val="00B8063D"/>
    <w:rsid w:val="00B80DB2"/>
    <w:rsid w:val="00B80F58"/>
    <w:rsid w:val="00B81652"/>
    <w:rsid w:val="00B81B47"/>
    <w:rsid w:val="00B83ED3"/>
    <w:rsid w:val="00B83EF7"/>
    <w:rsid w:val="00B8532D"/>
    <w:rsid w:val="00B85586"/>
    <w:rsid w:val="00B86282"/>
    <w:rsid w:val="00B862D9"/>
    <w:rsid w:val="00B865C6"/>
    <w:rsid w:val="00B87029"/>
    <w:rsid w:val="00B87ED4"/>
    <w:rsid w:val="00B90DB6"/>
    <w:rsid w:val="00B917A1"/>
    <w:rsid w:val="00B91907"/>
    <w:rsid w:val="00B93885"/>
    <w:rsid w:val="00B95E37"/>
    <w:rsid w:val="00B95E5F"/>
    <w:rsid w:val="00B96578"/>
    <w:rsid w:val="00B96C1A"/>
    <w:rsid w:val="00B96EC8"/>
    <w:rsid w:val="00BA06BE"/>
    <w:rsid w:val="00BA28A3"/>
    <w:rsid w:val="00BA28C0"/>
    <w:rsid w:val="00BA71E8"/>
    <w:rsid w:val="00BA7764"/>
    <w:rsid w:val="00BB059F"/>
    <w:rsid w:val="00BB1C44"/>
    <w:rsid w:val="00BB1CBF"/>
    <w:rsid w:val="00BB237B"/>
    <w:rsid w:val="00BB265D"/>
    <w:rsid w:val="00BB351F"/>
    <w:rsid w:val="00BB5916"/>
    <w:rsid w:val="00BB6139"/>
    <w:rsid w:val="00BB6F1F"/>
    <w:rsid w:val="00BC10A4"/>
    <w:rsid w:val="00BC150E"/>
    <w:rsid w:val="00BC30BD"/>
    <w:rsid w:val="00BC342E"/>
    <w:rsid w:val="00BC3931"/>
    <w:rsid w:val="00BC5A21"/>
    <w:rsid w:val="00BC5D9B"/>
    <w:rsid w:val="00BC5E11"/>
    <w:rsid w:val="00BC6C8E"/>
    <w:rsid w:val="00BC70DF"/>
    <w:rsid w:val="00BC7F12"/>
    <w:rsid w:val="00BD04F5"/>
    <w:rsid w:val="00BD05EE"/>
    <w:rsid w:val="00BD249C"/>
    <w:rsid w:val="00BD2DD3"/>
    <w:rsid w:val="00BD33AB"/>
    <w:rsid w:val="00BD4062"/>
    <w:rsid w:val="00BD40F9"/>
    <w:rsid w:val="00BD6A31"/>
    <w:rsid w:val="00BD6FE6"/>
    <w:rsid w:val="00BD7A30"/>
    <w:rsid w:val="00BD7C70"/>
    <w:rsid w:val="00BD7ECB"/>
    <w:rsid w:val="00BE0391"/>
    <w:rsid w:val="00BE1625"/>
    <w:rsid w:val="00BE3374"/>
    <w:rsid w:val="00BE3543"/>
    <w:rsid w:val="00BE47C0"/>
    <w:rsid w:val="00BE6DBC"/>
    <w:rsid w:val="00BE7D8E"/>
    <w:rsid w:val="00BE7E22"/>
    <w:rsid w:val="00BF1903"/>
    <w:rsid w:val="00BF1E15"/>
    <w:rsid w:val="00BF377D"/>
    <w:rsid w:val="00BF3CB3"/>
    <w:rsid w:val="00BF4016"/>
    <w:rsid w:val="00BF4A1B"/>
    <w:rsid w:val="00BF5273"/>
    <w:rsid w:val="00BF54A7"/>
    <w:rsid w:val="00BF5508"/>
    <w:rsid w:val="00BF59D7"/>
    <w:rsid w:val="00BF5CBD"/>
    <w:rsid w:val="00BF5FCE"/>
    <w:rsid w:val="00BF722A"/>
    <w:rsid w:val="00C01F86"/>
    <w:rsid w:val="00C0443B"/>
    <w:rsid w:val="00C0455B"/>
    <w:rsid w:val="00C04EFD"/>
    <w:rsid w:val="00C04F14"/>
    <w:rsid w:val="00C06839"/>
    <w:rsid w:val="00C06B79"/>
    <w:rsid w:val="00C07111"/>
    <w:rsid w:val="00C07343"/>
    <w:rsid w:val="00C1046C"/>
    <w:rsid w:val="00C11A24"/>
    <w:rsid w:val="00C12CA9"/>
    <w:rsid w:val="00C1350B"/>
    <w:rsid w:val="00C138DE"/>
    <w:rsid w:val="00C14BF6"/>
    <w:rsid w:val="00C1558C"/>
    <w:rsid w:val="00C160FC"/>
    <w:rsid w:val="00C1749A"/>
    <w:rsid w:val="00C17DE8"/>
    <w:rsid w:val="00C20080"/>
    <w:rsid w:val="00C207CB"/>
    <w:rsid w:val="00C23B9C"/>
    <w:rsid w:val="00C247D6"/>
    <w:rsid w:val="00C250AA"/>
    <w:rsid w:val="00C2559A"/>
    <w:rsid w:val="00C258B1"/>
    <w:rsid w:val="00C26D8B"/>
    <w:rsid w:val="00C26F10"/>
    <w:rsid w:val="00C31C92"/>
    <w:rsid w:val="00C32694"/>
    <w:rsid w:val="00C33220"/>
    <w:rsid w:val="00C334B8"/>
    <w:rsid w:val="00C33BDA"/>
    <w:rsid w:val="00C34E67"/>
    <w:rsid w:val="00C35D66"/>
    <w:rsid w:val="00C367AA"/>
    <w:rsid w:val="00C36C35"/>
    <w:rsid w:val="00C36ECE"/>
    <w:rsid w:val="00C3719B"/>
    <w:rsid w:val="00C37E25"/>
    <w:rsid w:val="00C40881"/>
    <w:rsid w:val="00C41524"/>
    <w:rsid w:val="00C41C90"/>
    <w:rsid w:val="00C44B24"/>
    <w:rsid w:val="00C44DA8"/>
    <w:rsid w:val="00C457DE"/>
    <w:rsid w:val="00C46757"/>
    <w:rsid w:val="00C47B4A"/>
    <w:rsid w:val="00C505DF"/>
    <w:rsid w:val="00C51635"/>
    <w:rsid w:val="00C51CD0"/>
    <w:rsid w:val="00C51FFE"/>
    <w:rsid w:val="00C52AF5"/>
    <w:rsid w:val="00C53684"/>
    <w:rsid w:val="00C541C4"/>
    <w:rsid w:val="00C56188"/>
    <w:rsid w:val="00C5719D"/>
    <w:rsid w:val="00C57793"/>
    <w:rsid w:val="00C57E6D"/>
    <w:rsid w:val="00C62041"/>
    <w:rsid w:val="00C625C2"/>
    <w:rsid w:val="00C6359F"/>
    <w:rsid w:val="00C645A7"/>
    <w:rsid w:val="00C66B89"/>
    <w:rsid w:val="00C66C61"/>
    <w:rsid w:val="00C66DA2"/>
    <w:rsid w:val="00C67250"/>
    <w:rsid w:val="00C67EEF"/>
    <w:rsid w:val="00C709BB"/>
    <w:rsid w:val="00C70AF2"/>
    <w:rsid w:val="00C72C92"/>
    <w:rsid w:val="00C73F1A"/>
    <w:rsid w:val="00C73F75"/>
    <w:rsid w:val="00C741DE"/>
    <w:rsid w:val="00C7499B"/>
    <w:rsid w:val="00C75551"/>
    <w:rsid w:val="00C777E9"/>
    <w:rsid w:val="00C77AB2"/>
    <w:rsid w:val="00C81B07"/>
    <w:rsid w:val="00C839F9"/>
    <w:rsid w:val="00C83DEA"/>
    <w:rsid w:val="00C83FB1"/>
    <w:rsid w:val="00C84480"/>
    <w:rsid w:val="00C850D2"/>
    <w:rsid w:val="00C85650"/>
    <w:rsid w:val="00C86B42"/>
    <w:rsid w:val="00C95FD3"/>
    <w:rsid w:val="00C969A0"/>
    <w:rsid w:val="00C96BDD"/>
    <w:rsid w:val="00C96C3C"/>
    <w:rsid w:val="00C96CBD"/>
    <w:rsid w:val="00CA02B1"/>
    <w:rsid w:val="00CA1417"/>
    <w:rsid w:val="00CA28EB"/>
    <w:rsid w:val="00CA3CD9"/>
    <w:rsid w:val="00CA3F5E"/>
    <w:rsid w:val="00CA413A"/>
    <w:rsid w:val="00CA44DF"/>
    <w:rsid w:val="00CA492E"/>
    <w:rsid w:val="00CA569C"/>
    <w:rsid w:val="00CA69DA"/>
    <w:rsid w:val="00CB1373"/>
    <w:rsid w:val="00CB1888"/>
    <w:rsid w:val="00CB1D17"/>
    <w:rsid w:val="00CB1D45"/>
    <w:rsid w:val="00CB1EBD"/>
    <w:rsid w:val="00CB3162"/>
    <w:rsid w:val="00CB333D"/>
    <w:rsid w:val="00CB33C0"/>
    <w:rsid w:val="00CB3980"/>
    <w:rsid w:val="00CB414A"/>
    <w:rsid w:val="00CC0567"/>
    <w:rsid w:val="00CC132C"/>
    <w:rsid w:val="00CC233F"/>
    <w:rsid w:val="00CC3F0B"/>
    <w:rsid w:val="00CC4936"/>
    <w:rsid w:val="00CC4C68"/>
    <w:rsid w:val="00CC529F"/>
    <w:rsid w:val="00CC5E62"/>
    <w:rsid w:val="00CC71D2"/>
    <w:rsid w:val="00CD0779"/>
    <w:rsid w:val="00CD0CBB"/>
    <w:rsid w:val="00CD1869"/>
    <w:rsid w:val="00CD2E88"/>
    <w:rsid w:val="00CD3433"/>
    <w:rsid w:val="00CD39A7"/>
    <w:rsid w:val="00CD39C5"/>
    <w:rsid w:val="00CD49E9"/>
    <w:rsid w:val="00CD56DC"/>
    <w:rsid w:val="00CD74A8"/>
    <w:rsid w:val="00CD761C"/>
    <w:rsid w:val="00CE03DE"/>
    <w:rsid w:val="00CE094B"/>
    <w:rsid w:val="00CE098A"/>
    <w:rsid w:val="00CE1409"/>
    <w:rsid w:val="00CE3260"/>
    <w:rsid w:val="00CE3798"/>
    <w:rsid w:val="00CE41EE"/>
    <w:rsid w:val="00CE4819"/>
    <w:rsid w:val="00CE4909"/>
    <w:rsid w:val="00CE4BDD"/>
    <w:rsid w:val="00CE591D"/>
    <w:rsid w:val="00CE68C1"/>
    <w:rsid w:val="00CE70F2"/>
    <w:rsid w:val="00CE734B"/>
    <w:rsid w:val="00CF0832"/>
    <w:rsid w:val="00CF134A"/>
    <w:rsid w:val="00CF1F50"/>
    <w:rsid w:val="00CF1F6B"/>
    <w:rsid w:val="00CF2B68"/>
    <w:rsid w:val="00CF2C7F"/>
    <w:rsid w:val="00CF2CB0"/>
    <w:rsid w:val="00CF310D"/>
    <w:rsid w:val="00CF34AB"/>
    <w:rsid w:val="00CF4080"/>
    <w:rsid w:val="00CF51A1"/>
    <w:rsid w:val="00CF5408"/>
    <w:rsid w:val="00CF74DB"/>
    <w:rsid w:val="00CF74E3"/>
    <w:rsid w:val="00CF772F"/>
    <w:rsid w:val="00D001D3"/>
    <w:rsid w:val="00D004B8"/>
    <w:rsid w:val="00D013BB"/>
    <w:rsid w:val="00D023FE"/>
    <w:rsid w:val="00D02C68"/>
    <w:rsid w:val="00D03686"/>
    <w:rsid w:val="00D05395"/>
    <w:rsid w:val="00D05AEA"/>
    <w:rsid w:val="00D11685"/>
    <w:rsid w:val="00D1266C"/>
    <w:rsid w:val="00D135A0"/>
    <w:rsid w:val="00D141FC"/>
    <w:rsid w:val="00D1467F"/>
    <w:rsid w:val="00D1499C"/>
    <w:rsid w:val="00D152A5"/>
    <w:rsid w:val="00D17DE0"/>
    <w:rsid w:val="00D215C1"/>
    <w:rsid w:val="00D2163C"/>
    <w:rsid w:val="00D23122"/>
    <w:rsid w:val="00D232DE"/>
    <w:rsid w:val="00D23E1F"/>
    <w:rsid w:val="00D24701"/>
    <w:rsid w:val="00D27E94"/>
    <w:rsid w:val="00D303BF"/>
    <w:rsid w:val="00D30EB6"/>
    <w:rsid w:val="00D31238"/>
    <w:rsid w:val="00D32C9C"/>
    <w:rsid w:val="00D337D5"/>
    <w:rsid w:val="00D34844"/>
    <w:rsid w:val="00D362B2"/>
    <w:rsid w:val="00D36555"/>
    <w:rsid w:val="00D37821"/>
    <w:rsid w:val="00D40675"/>
    <w:rsid w:val="00D40AE6"/>
    <w:rsid w:val="00D41287"/>
    <w:rsid w:val="00D41F7C"/>
    <w:rsid w:val="00D432C2"/>
    <w:rsid w:val="00D43649"/>
    <w:rsid w:val="00D43E5F"/>
    <w:rsid w:val="00D4427D"/>
    <w:rsid w:val="00D44434"/>
    <w:rsid w:val="00D46794"/>
    <w:rsid w:val="00D4734B"/>
    <w:rsid w:val="00D501C4"/>
    <w:rsid w:val="00D50785"/>
    <w:rsid w:val="00D50E3F"/>
    <w:rsid w:val="00D50EC2"/>
    <w:rsid w:val="00D51FAC"/>
    <w:rsid w:val="00D54005"/>
    <w:rsid w:val="00D54AF7"/>
    <w:rsid w:val="00D556D1"/>
    <w:rsid w:val="00D55869"/>
    <w:rsid w:val="00D560E0"/>
    <w:rsid w:val="00D571E9"/>
    <w:rsid w:val="00D57D8E"/>
    <w:rsid w:val="00D60C0B"/>
    <w:rsid w:val="00D60E74"/>
    <w:rsid w:val="00D6136D"/>
    <w:rsid w:val="00D61EAF"/>
    <w:rsid w:val="00D627ED"/>
    <w:rsid w:val="00D63D1C"/>
    <w:rsid w:val="00D6481D"/>
    <w:rsid w:val="00D64B91"/>
    <w:rsid w:val="00D66F1A"/>
    <w:rsid w:val="00D675D0"/>
    <w:rsid w:val="00D7047B"/>
    <w:rsid w:val="00D7073F"/>
    <w:rsid w:val="00D70A45"/>
    <w:rsid w:val="00D726BB"/>
    <w:rsid w:val="00D72ABF"/>
    <w:rsid w:val="00D7345F"/>
    <w:rsid w:val="00D73DB1"/>
    <w:rsid w:val="00D757B5"/>
    <w:rsid w:val="00D75890"/>
    <w:rsid w:val="00D75978"/>
    <w:rsid w:val="00D75CFB"/>
    <w:rsid w:val="00D76867"/>
    <w:rsid w:val="00D76DC9"/>
    <w:rsid w:val="00D779A1"/>
    <w:rsid w:val="00D77DD6"/>
    <w:rsid w:val="00D77F9B"/>
    <w:rsid w:val="00D77FE8"/>
    <w:rsid w:val="00D80BB1"/>
    <w:rsid w:val="00D81C7D"/>
    <w:rsid w:val="00D8224A"/>
    <w:rsid w:val="00D82C77"/>
    <w:rsid w:val="00D830B2"/>
    <w:rsid w:val="00D86213"/>
    <w:rsid w:val="00D9009C"/>
    <w:rsid w:val="00D9204F"/>
    <w:rsid w:val="00D9282F"/>
    <w:rsid w:val="00D9334A"/>
    <w:rsid w:val="00D93E40"/>
    <w:rsid w:val="00D93F81"/>
    <w:rsid w:val="00D94280"/>
    <w:rsid w:val="00D94715"/>
    <w:rsid w:val="00D94A56"/>
    <w:rsid w:val="00D94CAB"/>
    <w:rsid w:val="00D968E9"/>
    <w:rsid w:val="00D96AFE"/>
    <w:rsid w:val="00D97794"/>
    <w:rsid w:val="00DA111A"/>
    <w:rsid w:val="00DA1176"/>
    <w:rsid w:val="00DA18E7"/>
    <w:rsid w:val="00DA21FB"/>
    <w:rsid w:val="00DA3342"/>
    <w:rsid w:val="00DA5891"/>
    <w:rsid w:val="00DA5F7F"/>
    <w:rsid w:val="00DA62CB"/>
    <w:rsid w:val="00DA6E4C"/>
    <w:rsid w:val="00DA7327"/>
    <w:rsid w:val="00DA772F"/>
    <w:rsid w:val="00DB0C35"/>
    <w:rsid w:val="00DB2D76"/>
    <w:rsid w:val="00DB3B66"/>
    <w:rsid w:val="00DB4C45"/>
    <w:rsid w:val="00DB4DFD"/>
    <w:rsid w:val="00DB529C"/>
    <w:rsid w:val="00DB54CA"/>
    <w:rsid w:val="00DB5A91"/>
    <w:rsid w:val="00DC1783"/>
    <w:rsid w:val="00DC1E47"/>
    <w:rsid w:val="00DC2118"/>
    <w:rsid w:val="00DC2145"/>
    <w:rsid w:val="00DC23AB"/>
    <w:rsid w:val="00DC24B8"/>
    <w:rsid w:val="00DC2668"/>
    <w:rsid w:val="00DC2DF2"/>
    <w:rsid w:val="00DC5A06"/>
    <w:rsid w:val="00DC5D53"/>
    <w:rsid w:val="00DD1875"/>
    <w:rsid w:val="00DD2BB4"/>
    <w:rsid w:val="00DD306B"/>
    <w:rsid w:val="00DD332B"/>
    <w:rsid w:val="00DD5877"/>
    <w:rsid w:val="00DD5F7F"/>
    <w:rsid w:val="00DD6203"/>
    <w:rsid w:val="00DE07DA"/>
    <w:rsid w:val="00DE0C39"/>
    <w:rsid w:val="00DE3347"/>
    <w:rsid w:val="00DE4171"/>
    <w:rsid w:val="00DE4A90"/>
    <w:rsid w:val="00DE6437"/>
    <w:rsid w:val="00DE6BD9"/>
    <w:rsid w:val="00DF1CAC"/>
    <w:rsid w:val="00DF20A4"/>
    <w:rsid w:val="00DF273D"/>
    <w:rsid w:val="00DF4881"/>
    <w:rsid w:val="00DF58A6"/>
    <w:rsid w:val="00DF6282"/>
    <w:rsid w:val="00DF6593"/>
    <w:rsid w:val="00DF65D8"/>
    <w:rsid w:val="00DF76BA"/>
    <w:rsid w:val="00E00949"/>
    <w:rsid w:val="00E010EA"/>
    <w:rsid w:val="00E016D7"/>
    <w:rsid w:val="00E02FD2"/>
    <w:rsid w:val="00E035DD"/>
    <w:rsid w:val="00E03D90"/>
    <w:rsid w:val="00E06B25"/>
    <w:rsid w:val="00E0711D"/>
    <w:rsid w:val="00E07679"/>
    <w:rsid w:val="00E107F1"/>
    <w:rsid w:val="00E1137B"/>
    <w:rsid w:val="00E12B40"/>
    <w:rsid w:val="00E13836"/>
    <w:rsid w:val="00E1460B"/>
    <w:rsid w:val="00E1461F"/>
    <w:rsid w:val="00E14E33"/>
    <w:rsid w:val="00E205D6"/>
    <w:rsid w:val="00E205F2"/>
    <w:rsid w:val="00E2072F"/>
    <w:rsid w:val="00E23726"/>
    <w:rsid w:val="00E24444"/>
    <w:rsid w:val="00E25C58"/>
    <w:rsid w:val="00E26394"/>
    <w:rsid w:val="00E26613"/>
    <w:rsid w:val="00E27A7B"/>
    <w:rsid w:val="00E30E9B"/>
    <w:rsid w:val="00E3150E"/>
    <w:rsid w:val="00E33370"/>
    <w:rsid w:val="00E34A04"/>
    <w:rsid w:val="00E35D4C"/>
    <w:rsid w:val="00E36215"/>
    <w:rsid w:val="00E3645F"/>
    <w:rsid w:val="00E36EC9"/>
    <w:rsid w:val="00E37010"/>
    <w:rsid w:val="00E401E6"/>
    <w:rsid w:val="00E40396"/>
    <w:rsid w:val="00E4070A"/>
    <w:rsid w:val="00E415E9"/>
    <w:rsid w:val="00E41739"/>
    <w:rsid w:val="00E4194F"/>
    <w:rsid w:val="00E41982"/>
    <w:rsid w:val="00E428DF"/>
    <w:rsid w:val="00E429CB"/>
    <w:rsid w:val="00E43BE8"/>
    <w:rsid w:val="00E43DD4"/>
    <w:rsid w:val="00E45AE6"/>
    <w:rsid w:val="00E4757B"/>
    <w:rsid w:val="00E475CE"/>
    <w:rsid w:val="00E47D24"/>
    <w:rsid w:val="00E518D9"/>
    <w:rsid w:val="00E52989"/>
    <w:rsid w:val="00E532AC"/>
    <w:rsid w:val="00E5522E"/>
    <w:rsid w:val="00E5551D"/>
    <w:rsid w:val="00E558C2"/>
    <w:rsid w:val="00E55A56"/>
    <w:rsid w:val="00E57F4D"/>
    <w:rsid w:val="00E57F93"/>
    <w:rsid w:val="00E60433"/>
    <w:rsid w:val="00E606E0"/>
    <w:rsid w:val="00E61AC1"/>
    <w:rsid w:val="00E660B5"/>
    <w:rsid w:val="00E661AB"/>
    <w:rsid w:val="00E66AFD"/>
    <w:rsid w:val="00E67FCB"/>
    <w:rsid w:val="00E724B7"/>
    <w:rsid w:val="00E74992"/>
    <w:rsid w:val="00E75A6A"/>
    <w:rsid w:val="00E77406"/>
    <w:rsid w:val="00E77548"/>
    <w:rsid w:val="00E803C0"/>
    <w:rsid w:val="00E80945"/>
    <w:rsid w:val="00E80BD6"/>
    <w:rsid w:val="00E81221"/>
    <w:rsid w:val="00E8133F"/>
    <w:rsid w:val="00E820E9"/>
    <w:rsid w:val="00E823EA"/>
    <w:rsid w:val="00E82905"/>
    <w:rsid w:val="00E82D54"/>
    <w:rsid w:val="00E84E5A"/>
    <w:rsid w:val="00E874A8"/>
    <w:rsid w:val="00E904BE"/>
    <w:rsid w:val="00E90F8C"/>
    <w:rsid w:val="00E9204D"/>
    <w:rsid w:val="00E92362"/>
    <w:rsid w:val="00E92727"/>
    <w:rsid w:val="00E931BC"/>
    <w:rsid w:val="00E93797"/>
    <w:rsid w:val="00E93B5A"/>
    <w:rsid w:val="00E949DE"/>
    <w:rsid w:val="00E967C4"/>
    <w:rsid w:val="00E968EB"/>
    <w:rsid w:val="00E96E26"/>
    <w:rsid w:val="00E9790C"/>
    <w:rsid w:val="00E97F03"/>
    <w:rsid w:val="00EA00A9"/>
    <w:rsid w:val="00EA0796"/>
    <w:rsid w:val="00EA1F63"/>
    <w:rsid w:val="00EA299B"/>
    <w:rsid w:val="00EA3434"/>
    <w:rsid w:val="00EA5FF8"/>
    <w:rsid w:val="00EA62B0"/>
    <w:rsid w:val="00EA6499"/>
    <w:rsid w:val="00EA77B8"/>
    <w:rsid w:val="00EB5410"/>
    <w:rsid w:val="00EB6E86"/>
    <w:rsid w:val="00EB7591"/>
    <w:rsid w:val="00EB7915"/>
    <w:rsid w:val="00EB79AC"/>
    <w:rsid w:val="00EB7CBB"/>
    <w:rsid w:val="00EC19C4"/>
    <w:rsid w:val="00EC4419"/>
    <w:rsid w:val="00EC568F"/>
    <w:rsid w:val="00EC5708"/>
    <w:rsid w:val="00EC5C2C"/>
    <w:rsid w:val="00EC66C8"/>
    <w:rsid w:val="00EC6F77"/>
    <w:rsid w:val="00EC7E09"/>
    <w:rsid w:val="00ED0421"/>
    <w:rsid w:val="00ED13D5"/>
    <w:rsid w:val="00ED1A95"/>
    <w:rsid w:val="00ED1E30"/>
    <w:rsid w:val="00ED2953"/>
    <w:rsid w:val="00ED3F51"/>
    <w:rsid w:val="00ED58E7"/>
    <w:rsid w:val="00ED5C17"/>
    <w:rsid w:val="00EE0AE0"/>
    <w:rsid w:val="00EE1913"/>
    <w:rsid w:val="00EE1D19"/>
    <w:rsid w:val="00EE24D4"/>
    <w:rsid w:val="00EE34AA"/>
    <w:rsid w:val="00EE377E"/>
    <w:rsid w:val="00EE5CB8"/>
    <w:rsid w:val="00EF202B"/>
    <w:rsid w:val="00EF2CB0"/>
    <w:rsid w:val="00EF5287"/>
    <w:rsid w:val="00EF7493"/>
    <w:rsid w:val="00EF7E77"/>
    <w:rsid w:val="00F005C7"/>
    <w:rsid w:val="00F02269"/>
    <w:rsid w:val="00F030B3"/>
    <w:rsid w:val="00F03293"/>
    <w:rsid w:val="00F05581"/>
    <w:rsid w:val="00F05D31"/>
    <w:rsid w:val="00F06C00"/>
    <w:rsid w:val="00F101CC"/>
    <w:rsid w:val="00F102AF"/>
    <w:rsid w:val="00F125CD"/>
    <w:rsid w:val="00F13752"/>
    <w:rsid w:val="00F13EF6"/>
    <w:rsid w:val="00F1526B"/>
    <w:rsid w:val="00F156D5"/>
    <w:rsid w:val="00F16150"/>
    <w:rsid w:val="00F179B6"/>
    <w:rsid w:val="00F21F3C"/>
    <w:rsid w:val="00F22A80"/>
    <w:rsid w:val="00F24700"/>
    <w:rsid w:val="00F257EB"/>
    <w:rsid w:val="00F269F4"/>
    <w:rsid w:val="00F26C54"/>
    <w:rsid w:val="00F2799F"/>
    <w:rsid w:val="00F27D22"/>
    <w:rsid w:val="00F30620"/>
    <w:rsid w:val="00F308F8"/>
    <w:rsid w:val="00F315DD"/>
    <w:rsid w:val="00F32517"/>
    <w:rsid w:val="00F33A85"/>
    <w:rsid w:val="00F33C28"/>
    <w:rsid w:val="00F34D88"/>
    <w:rsid w:val="00F363BC"/>
    <w:rsid w:val="00F37798"/>
    <w:rsid w:val="00F37FE9"/>
    <w:rsid w:val="00F406C3"/>
    <w:rsid w:val="00F4362A"/>
    <w:rsid w:val="00F46216"/>
    <w:rsid w:val="00F46E26"/>
    <w:rsid w:val="00F50B9E"/>
    <w:rsid w:val="00F51B54"/>
    <w:rsid w:val="00F53B2A"/>
    <w:rsid w:val="00F53E64"/>
    <w:rsid w:val="00F53F42"/>
    <w:rsid w:val="00F54FDF"/>
    <w:rsid w:val="00F55C78"/>
    <w:rsid w:val="00F562E9"/>
    <w:rsid w:val="00F5697C"/>
    <w:rsid w:val="00F56B5F"/>
    <w:rsid w:val="00F56E37"/>
    <w:rsid w:val="00F6033A"/>
    <w:rsid w:val="00F603DB"/>
    <w:rsid w:val="00F6185A"/>
    <w:rsid w:val="00F62B07"/>
    <w:rsid w:val="00F62E11"/>
    <w:rsid w:val="00F636E8"/>
    <w:rsid w:val="00F63E3B"/>
    <w:rsid w:val="00F64D7C"/>
    <w:rsid w:val="00F664F1"/>
    <w:rsid w:val="00F66990"/>
    <w:rsid w:val="00F6738D"/>
    <w:rsid w:val="00F67FD1"/>
    <w:rsid w:val="00F72BA8"/>
    <w:rsid w:val="00F73B84"/>
    <w:rsid w:val="00F74556"/>
    <w:rsid w:val="00F7490A"/>
    <w:rsid w:val="00F75249"/>
    <w:rsid w:val="00F75EFF"/>
    <w:rsid w:val="00F77B43"/>
    <w:rsid w:val="00F77C03"/>
    <w:rsid w:val="00F806CF"/>
    <w:rsid w:val="00F808F3"/>
    <w:rsid w:val="00F818F8"/>
    <w:rsid w:val="00F81D22"/>
    <w:rsid w:val="00F83A74"/>
    <w:rsid w:val="00F83D6A"/>
    <w:rsid w:val="00F84598"/>
    <w:rsid w:val="00F85251"/>
    <w:rsid w:val="00F8687E"/>
    <w:rsid w:val="00F8695D"/>
    <w:rsid w:val="00F86C4F"/>
    <w:rsid w:val="00F87AA2"/>
    <w:rsid w:val="00F91C9E"/>
    <w:rsid w:val="00F92E91"/>
    <w:rsid w:val="00F93A41"/>
    <w:rsid w:val="00F949DD"/>
    <w:rsid w:val="00F95616"/>
    <w:rsid w:val="00F95BD1"/>
    <w:rsid w:val="00F95DB4"/>
    <w:rsid w:val="00F969C8"/>
    <w:rsid w:val="00F96E37"/>
    <w:rsid w:val="00FA04FD"/>
    <w:rsid w:val="00FA0ED5"/>
    <w:rsid w:val="00FA3642"/>
    <w:rsid w:val="00FA4D9C"/>
    <w:rsid w:val="00FA724D"/>
    <w:rsid w:val="00FA74A6"/>
    <w:rsid w:val="00FB05A0"/>
    <w:rsid w:val="00FB0718"/>
    <w:rsid w:val="00FB0D5E"/>
    <w:rsid w:val="00FB190D"/>
    <w:rsid w:val="00FB1A28"/>
    <w:rsid w:val="00FB35D2"/>
    <w:rsid w:val="00FB47FF"/>
    <w:rsid w:val="00FB5992"/>
    <w:rsid w:val="00FB69EA"/>
    <w:rsid w:val="00FB6AD1"/>
    <w:rsid w:val="00FC22E4"/>
    <w:rsid w:val="00FC3532"/>
    <w:rsid w:val="00FC3877"/>
    <w:rsid w:val="00FC4558"/>
    <w:rsid w:val="00FC4768"/>
    <w:rsid w:val="00FC697B"/>
    <w:rsid w:val="00FC7A60"/>
    <w:rsid w:val="00FC7B1C"/>
    <w:rsid w:val="00FD042B"/>
    <w:rsid w:val="00FD05DE"/>
    <w:rsid w:val="00FD1E53"/>
    <w:rsid w:val="00FD2080"/>
    <w:rsid w:val="00FD53BC"/>
    <w:rsid w:val="00FD5D0F"/>
    <w:rsid w:val="00FD7D84"/>
    <w:rsid w:val="00FE034A"/>
    <w:rsid w:val="00FE11E8"/>
    <w:rsid w:val="00FE18DA"/>
    <w:rsid w:val="00FE3B95"/>
    <w:rsid w:val="00FE42AE"/>
    <w:rsid w:val="00FE5E05"/>
    <w:rsid w:val="00FE7CAD"/>
    <w:rsid w:val="00FF195A"/>
    <w:rsid w:val="00FF1E7C"/>
    <w:rsid w:val="00FF2280"/>
    <w:rsid w:val="00FF26B8"/>
    <w:rsid w:val="00FF46F0"/>
    <w:rsid w:val="00FF5EB1"/>
    <w:rsid w:val="00FF7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5"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sz w:val="24"/>
      <w:lang w:val="bg-BG"/>
    </w:rPr>
  </w:style>
  <w:style w:type="paragraph" w:styleId="Heading1">
    <w:name w:val="heading 1"/>
    <w:basedOn w:val="Normal"/>
    <w:next w:val="Text1"/>
    <w:link w:val="Heading1Char"/>
    <w:uiPriority w:val="9"/>
    <w:qFormat/>
    <w:rsid w:val="007D53B6"/>
    <w:pPr>
      <w:keepNext/>
      <w:numPr>
        <w:numId w:val="70"/>
      </w:numPr>
      <w:spacing w:before="360"/>
      <w:outlineLvl w:val="0"/>
    </w:pPr>
    <w:rPr>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70"/>
      </w:numPr>
      <w:outlineLvl w:val="1"/>
    </w:pPr>
    <w:rPr>
      <w:b/>
      <w:bCs/>
      <w:szCs w:val="26"/>
    </w:rPr>
  </w:style>
  <w:style w:type="paragraph" w:styleId="Heading3">
    <w:name w:val="heading 3"/>
    <w:basedOn w:val="Normal"/>
    <w:next w:val="Text1"/>
    <w:link w:val="Heading3Char"/>
    <w:uiPriority w:val="9"/>
    <w:semiHidden/>
    <w:unhideWhenUsed/>
    <w:qFormat/>
    <w:rsid w:val="007D53B6"/>
    <w:pPr>
      <w:keepNext/>
      <w:numPr>
        <w:ilvl w:val="2"/>
        <w:numId w:val="70"/>
      </w:numPr>
      <w:outlineLvl w:val="2"/>
    </w:pPr>
    <w:rPr>
      <w:bCs/>
      <w:i/>
    </w:rPr>
  </w:style>
  <w:style w:type="paragraph" w:styleId="Heading4">
    <w:name w:val="heading 4"/>
    <w:basedOn w:val="Normal"/>
    <w:next w:val="Text1"/>
    <w:link w:val="Heading4Char"/>
    <w:uiPriority w:val="9"/>
    <w:semiHidden/>
    <w:unhideWhenUsed/>
    <w:qFormat/>
    <w:rsid w:val="007D53B6"/>
    <w:pPr>
      <w:keepNext/>
      <w:numPr>
        <w:ilvl w:val="3"/>
        <w:numId w:val="70"/>
      </w:numPr>
      <w:outlineLvl w:val="3"/>
    </w:pPr>
    <w:rPr>
      <w:bCs/>
      <w:iCs/>
    </w:rPr>
  </w:style>
  <w:style w:type="paragraph" w:styleId="Heading5">
    <w:name w:val="heading 5"/>
    <w:basedOn w:val="Normal"/>
    <w:next w:val="Normal"/>
    <w:qFormat/>
    <w:rsid w:val="00682A7D"/>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2E2"/>
    <w:pPr>
      <w:spacing w:before="0" w:after="200" w:line="276" w:lineRule="auto"/>
      <w:ind w:left="720"/>
      <w:contextualSpacing/>
      <w:jc w:val="left"/>
    </w:pPr>
    <w:rPr>
      <w:rFonts w:ascii="Calibri" w:hAnsi="Calibri"/>
      <w:sz w:val="22"/>
      <w:szCs w:val="22"/>
    </w:rPr>
  </w:style>
  <w:style w:type="paragraph" w:styleId="Caption">
    <w:name w:val="caption"/>
    <w:basedOn w:val="Normal"/>
    <w:next w:val="Normal"/>
    <w:qFormat/>
    <w:rsid w:val="00ED58E7"/>
    <w:rPr>
      <w:b/>
      <w:bCs/>
      <w:sz w:val="20"/>
    </w:rPr>
  </w:style>
  <w:style w:type="paragraph" w:styleId="TableofFigures">
    <w:name w:val="table of figures"/>
    <w:basedOn w:val="Normal"/>
    <w:next w:val="Normal"/>
    <w:rsid w:val="00ED58E7"/>
  </w:style>
  <w:style w:type="paragraph" w:styleId="ListBullet">
    <w:name w:val="List Bullet"/>
    <w:basedOn w:val="Normal"/>
    <w:rsid w:val="00ED58E7"/>
    <w:pPr>
      <w:numPr>
        <w:numId w:val="1"/>
      </w:numPr>
      <w:contextualSpacing/>
    </w:pPr>
  </w:style>
  <w:style w:type="paragraph" w:styleId="ListBullet2">
    <w:name w:val="List Bullet 2"/>
    <w:basedOn w:val="Normal"/>
    <w:rsid w:val="00ED58E7"/>
    <w:pPr>
      <w:numPr>
        <w:numId w:val="2"/>
      </w:numPr>
      <w:contextualSpacing/>
    </w:pPr>
  </w:style>
  <w:style w:type="paragraph" w:styleId="ListBullet3">
    <w:name w:val="List Bullet 3"/>
    <w:basedOn w:val="Normal"/>
    <w:rsid w:val="00ED58E7"/>
    <w:pPr>
      <w:numPr>
        <w:numId w:val="3"/>
      </w:numPr>
      <w:contextualSpacing/>
    </w:pPr>
  </w:style>
  <w:style w:type="paragraph" w:styleId="ListBullet4">
    <w:name w:val="List Bullet 4"/>
    <w:basedOn w:val="Normal"/>
    <w:rsid w:val="00ED58E7"/>
    <w:pPr>
      <w:numPr>
        <w:numId w:val="4"/>
      </w:numPr>
      <w:contextualSpacing/>
    </w:pPr>
  </w:style>
  <w:style w:type="paragraph" w:styleId="ListNumber">
    <w:name w:val="List Number"/>
    <w:basedOn w:val="Normal"/>
    <w:rsid w:val="00ED58E7"/>
    <w:pPr>
      <w:numPr>
        <w:numId w:val="5"/>
      </w:numPr>
      <w:contextualSpacing/>
    </w:pPr>
  </w:style>
  <w:style w:type="paragraph" w:styleId="ListNumber2">
    <w:name w:val="List Number 2"/>
    <w:basedOn w:val="Normal"/>
    <w:rsid w:val="00ED58E7"/>
    <w:pPr>
      <w:numPr>
        <w:numId w:val="6"/>
      </w:numPr>
      <w:contextualSpacing/>
    </w:pPr>
  </w:style>
  <w:style w:type="paragraph" w:styleId="ListNumber3">
    <w:name w:val="List Number 3"/>
    <w:basedOn w:val="Normal"/>
    <w:rsid w:val="00ED58E7"/>
    <w:pPr>
      <w:numPr>
        <w:numId w:val="7"/>
      </w:numPr>
      <w:contextualSpacing/>
    </w:pPr>
  </w:style>
  <w:style w:type="paragraph" w:styleId="ListNumber4">
    <w:name w:val="List Number 4"/>
    <w:basedOn w:val="Normal"/>
    <w:rsid w:val="00ED58E7"/>
    <w:pPr>
      <w:numPr>
        <w:numId w:val="8"/>
      </w:numPr>
      <w:contextualSpacing/>
    </w:pPr>
  </w:style>
  <w:style w:type="character" w:styleId="CommentReference">
    <w:name w:val="annotation reference"/>
    <w:uiPriority w:val="99"/>
    <w:rsid w:val="00C247D6"/>
    <w:rPr>
      <w:sz w:val="16"/>
    </w:rPr>
  </w:style>
  <w:style w:type="paragraph" w:styleId="CommentText">
    <w:name w:val="annotation text"/>
    <w:basedOn w:val="Normal"/>
    <w:link w:val="CommentTextChar"/>
    <w:uiPriority w:val="99"/>
    <w:rsid w:val="00C247D6"/>
    <w:rPr>
      <w:sz w:val="20"/>
    </w:rPr>
  </w:style>
  <w:style w:type="paragraph" w:styleId="CommentSubject">
    <w:name w:val="annotation subject"/>
    <w:basedOn w:val="CommentText"/>
    <w:next w:val="CommentText"/>
    <w:rsid w:val="00C247D6"/>
    <w:rPr>
      <w:b/>
      <w:bCs/>
    </w:rPr>
  </w:style>
  <w:style w:type="character" w:styleId="Hyperlink">
    <w:name w:val="Hyperlink"/>
    <w:uiPriority w:val="99"/>
    <w:rsid w:val="00C247D6"/>
    <w:rPr>
      <w:color w:val="0000FF"/>
      <w:u w:val="single"/>
    </w:rPr>
  </w:style>
  <w:style w:type="paragraph" w:styleId="BalloonText">
    <w:name w:val="Balloon Text"/>
    <w:basedOn w:val="Normal"/>
    <w:rsid w:val="00C247D6"/>
    <w:pPr>
      <w:spacing w:before="0" w:after="0"/>
    </w:pPr>
    <w:rPr>
      <w:rFonts w:ascii="Tahoma" w:hAnsi="Tahoma" w:cs="Tahoma"/>
      <w:sz w:val="16"/>
      <w:szCs w:val="16"/>
    </w:rPr>
  </w:style>
  <w:style w:type="paragraph" w:styleId="Revision">
    <w:name w:val="Revision"/>
    <w:hidden/>
    <w:semiHidden/>
    <w:rsid w:val="00B90DB6"/>
    <w:rPr>
      <w:sz w:val="24"/>
      <w:szCs w:val="24"/>
      <w:lang w:val="bg-BG" w:eastAsia="bg-BG" w:bidi="bg-BG"/>
    </w:rPr>
  </w:style>
  <w:style w:type="character" w:customStyle="1" w:styleId="Corpsdutexte11">
    <w:name w:val="Corps du texte11"/>
    <w:rsid w:val="00E45AE6"/>
    <w:rPr>
      <w:color w:val="1A171C"/>
      <w:sz w:val="16"/>
      <w:u w:val="none"/>
    </w:rPr>
  </w:style>
  <w:style w:type="paragraph" w:styleId="EndnoteText">
    <w:name w:val="endnote text"/>
    <w:basedOn w:val="Normal"/>
    <w:rsid w:val="009A61AA"/>
    <w:rPr>
      <w:sz w:val="20"/>
    </w:rPr>
  </w:style>
  <w:style w:type="character" w:styleId="EndnoteReference">
    <w:name w:val="endnote reference"/>
    <w:rsid w:val="009A61AA"/>
    <w:rPr>
      <w:vertAlign w:val="superscript"/>
    </w:rPr>
  </w:style>
  <w:style w:type="paragraph" w:styleId="NormalWeb">
    <w:name w:val="Normal (Web)"/>
    <w:basedOn w:val="Normal"/>
    <w:uiPriority w:val="99"/>
    <w:unhideWhenUsed/>
    <w:rsid w:val="00892A05"/>
    <w:pPr>
      <w:spacing w:before="100" w:beforeAutospacing="1" w:after="100" w:afterAutospacing="1"/>
      <w:jc w:val="left"/>
    </w:pPr>
  </w:style>
  <w:style w:type="character" w:customStyle="1" w:styleId="Corpsdutexte">
    <w:name w:val="Corps du texte_"/>
    <w:uiPriority w:val="99"/>
    <w:rsid w:val="00CE03DE"/>
    <w:rPr>
      <w:sz w:val="22"/>
      <w:szCs w:val="22"/>
      <w:shd w:val="clear" w:color="auto" w:fill="FFFFFF"/>
    </w:rPr>
  </w:style>
  <w:style w:type="paragraph" w:customStyle="1" w:styleId="Corpsdutexte1">
    <w:name w:val="Corps du texte1"/>
    <w:basedOn w:val="Normal"/>
    <w:uiPriority w:val="99"/>
    <w:rsid w:val="00CE03DE"/>
    <w:pPr>
      <w:widowControl w:val="0"/>
      <w:shd w:val="clear" w:color="auto" w:fill="FFFFFF"/>
      <w:spacing w:before="300" w:after="60" w:line="240" w:lineRule="atLeast"/>
      <w:ind w:hanging="580"/>
      <w:jc w:val="left"/>
    </w:pPr>
    <w:rPr>
      <w:sz w:val="22"/>
      <w:szCs w:val="22"/>
    </w:rPr>
  </w:style>
  <w:style w:type="character" w:customStyle="1" w:styleId="CorpsdutexteGras3">
    <w:name w:val="Corps du texte + Gras3"/>
    <w:uiPriority w:val="99"/>
    <w:rsid w:val="00D97794"/>
    <w:rPr>
      <w:b/>
      <w:bCs/>
      <w:sz w:val="22"/>
      <w:szCs w:val="22"/>
      <w:u w:val="none"/>
    </w:rPr>
  </w:style>
  <w:style w:type="character" w:customStyle="1" w:styleId="En-tte2">
    <w:name w:val="En-tête #2_"/>
    <w:link w:val="En-tte20"/>
    <w:uiPriority w:val="99"/>
    <w:rsid w:val="004028B8"/>
    <w:rPr>
      <w:b/>
      <w:bCs/>
      <w:sz w:val="22"/>
      <w:szCs w:val="22"/>
      <w:shd w:val="clear" w:color="auto" w:fill="FFFFFF"/>
    </w:rPr>
  </w:style>
  <w:style w:type="paragraph" w:customStyle="1" w:styleId="En-tte20">
    <w:name w:val="En-tête #2"/>
    <w:basedOn w:val="Normal"/>
    <w:link w:val="En-tte2"/>
    <w:uiPriority w:val="99"/>
    <w:rsid w:val="004028B8"/>
    <w:pPr>
      <w:widowControl w:val="0"/>
      <w:shd w:val="clear" w:color="auto" w:fill="FFFFFF"/>
      <w:spacing w:before="300" w:after="0" w:line="278" w:lineRule="exact"/>
      <w:outlineLvl w:val="1"/>
    </w:pPr>
    <w:rPr>
      <w:b/>
      <w:bCs/>
      <w:sz w:val="22"/>
      <w:szCs w:val="22"/>
    </w:rPr>
  </w:style>
  <w:style w:type="character" w:styleId="Emphasis">
    <w:name w:val="Emphasis"/>
    <w:uiPriority w:val="20"/>
    <w:qFormat/>
    <w:rsid w:val="001C6994"/>
    <w:rPr>
      <w:i/>
      <w:iCs/>
    </w:rPr>
  </w:style>
  <w:style w:type="character" w:customStyle="1" w:styleId="CommentTextChar">
    <w:name w:val="Comment Text Char"/>
    <w:link w:val="CommentText"/>
    <w:uiPriority w:val="99"/>
    <w:rsid w:val="00436AFE"/>
    <w:rPr>
      <w:lang w:eastAsia="bg-BG"/>
    </w:rPr>
  </w:style>
  <w:style w:type="paragraph" w:styleId="Header">
    <w:name w:val="header"/>
    <w:basedOn w:val="Normal"/>
    <w:link w:val="HeaderChar"/>
    <w:uiPriority w:val="99"/>
    <w:unhideWhenUsed/>
    <w:rsid w:val="0063194C"/>
    <w:pPr>
      <w:tabs>
        <w:tab w:val="center" w:pos="4535"/>
        <w:tab w:val="right" w:pos="9071"/>
      </w:tabs>
      <w:spacing w:before="0"/>
    </w:pPr>
    <w:rPr>
      <w:rFonts w:eastAsia="Calibri"/>
      <w:szCs w:val="22"/>
      <w:lang w:eastAsia="en-US"/>
    </w:rPr>
  </w:style>
  <w:style w:type="character" w:customStyle="1" w:styleId="HeaderChar">
    <w:name w:val="Header Char"/>
    <w:link w:val="Header"/>
    <w:uiPriority w:val="99"/>
    <w:rsid w:val="0063194C"/>
    <w:rPr>
      <w:rFonts w:eastAsia="Calibri"/>
      <w:sz w:val="24"/>
      <w:szCs w:val="22"/>
      <w:lang w:val="bg-BG" w:eastAsia="en-US"/>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rPr>
  </w:style>
  <w:style w:type="character" w:customStyle="1" w:styleId="FootnoteTextChar">
    <w:name w:val="Footnote Text Char"/>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D53B6"/>
    <w:rPr>
      <w:b/>
      <w:bCs/>
      <w:smallCaps/>
      <w:sz w:val="24"/>
      <w:szCs w:val="28"/>
    </w:rPr>
  </w:style>
  <w:style w:type="character" w:customStyle="1" w:styleId="Heading2Char">
    <w:name w:val="Heading 2 Char"/>
    <w:link w:val="Heading2"/>
    <w:uiPriority w:val="9"/>
    <w:semiHidden/>
    <w:rsid w:val="007D53B6"/>
    <w:rPr>
      <w:b/>
      <w:bCs/>
      <w:sz w:val="24"/>
      <w:szCs w:val="26"/>
    </w:rPr>
  </w:style>
  <w:style w:type="character" w:customStyle="1" w:styleId="Heading3Char">
    <w:name w:val="Heading 3 Char"/>
    <w:link w:val="Heading3"/>
    <w:uiPriority w:val="9"/>
    <w:semiHidden/>
    <w:rsid w:val="007D53B6"/>
    <w:rPr>
      <w:bCs/>
      <w:i/>
      <w:sz w:val="24"/>
    </w:rPr>
  </w:style>
  <w:style w:type="character" w:customStyle="1" w:styleId="Heading4Char">
    <w:name w:val="Heading 4 Char"/>
    <w:link w:val="Heading4"/>
    <w:uiPriority w:val="9"/>
    <w:semiHidden/>
    <w:rsid w:val="007D53B6"/>
    <w:rPr>
      <w:bCs/>
      <w:iCs/>
      <w:sz w:val="24"/>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63194C"/>
    <w:pPr>
      <w:tabs>
        <w:tab w:val="center" w:pos="7285"/>
        <w:tab w:val="right" w:pos="14003"/>
      </w:tabs>
      <w:spacing w:before="0"/>
    </w:pPr>
    <w:rPr>
      <w:rFonts w:eastAsia="Calibri"/>
      <w:szCs w:val="22"/>
      <w:lang w:eastAsia="en-US"/>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64"/>
      </w:numPr>
    </w:pPr>
  </w:style>
  <w:style w:type="paragraph" w:customStyle="1" w:styleId="Tiret1">
    <w:name w:val="Tiret 1"/>
    <w:basedOn w:val="Point1"/>
    <w:rsid w:val="007D53B6"/>
    <w:pPr>
      <w:numPr>
        <w:numId w:val="65"/>
      </w:numPr>
    </w:pPr>
  </w:style>
  <w:style w:type="paragraph" w:customStyle="1" w:styleId="Tiret2">
    <w:name w:val="Tiret 2"/>
    <w:basedOn w:val="Point2"/>
    <w:rsid w:val="007D53B6"/>
    <w:pPr>
      <w:numPr>
        <w:numId w:val="66"/>
      </w:numPr>
    </w:pPr>
  </w:style>
  <w:style w:type="paragraph" w:customStyle="1" w:styleId="Tiret3">
    <w:name w:val="Tiret 3"/>
    <w:basedOn w:val="Point3"/>
    <w:rsid w:val="007D53B6"/>
    <w:pPr>
      <w:numPr>
        <w:numId w:val="67"/>
      </w:numPr>
    </w:pPr>
  </w:style>
  <w:style w:type="paragraph" w:customStyle="1" w:styleId="Tiret4">
    <w:name w:val="Tiret 4"/>
    <w:basedOn w:val="Point4"/>
    <w:rsid w:val="007D53B6"/>
    <w:pPr>
      <w:numPr>
        <w:numId w:val="68"/>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69"/>
      </w:numPr>
    </w:pPr>
  </w:style>
  <w:style w:type="paragraph" w:customStyle="1" w:styleId="NumPar2">
    <w:name w:val="NumPar 2"/>
    <w:basedOn w:val="Normal"/>
    <w:next w:val="Text1"/>
    <w:rsid w:val="007D53B6"/>
    <w:pPr>
      <w:numPr>
        <w:ilvl w:val="1"/>
        <w:numId w:val="69"/>
      </w:numPr>
    </w:pPr>
  </w:style>
  <w:style w:type="paragraph" w:customStyle="1" w:styleId="NumPar3">
    <w:name w:val="NumPar 3"/>
    <w:basedOn w:val="Normal"/>
    <w:next w:val="Text1"/>
    <w:rsid w:val="007D53B6"/>
    <w:pPr>
      <w:numPr>
        <w:ilvl w:val="2"/>
        <w:numId w:val="69"/>
      </w:numPr>
    </w:pPr>
  </w:style>
  <w:style w:type="paragraph" w:customStyle="1" w:styleId="NumPar4">
    <w:name w:val="NumPar 4"/>
    <w:basedOn w:val="Normal"/>
    <w:next w:val="Text1"/>
    <w:rsid w:val="007D53B6"/>
    <w:pPr>
      <w:numPr>
        <w:ilvl w:val="3"/>
        <w:numId w:val="69"/>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rsid w:val="007D53B6"/>
    <w:rPr>
      <w:color w:val="0000FF"/>
      <w:shd w:val="clear" w:color="auto" w:fill="auto"/>
    </w:rPr>
  </w:style>
  <w:style w:type="character" w:customStyle="1" w:styleId="Marker1">
    <w:name w:val="Marker1"/>
    <w:rsid w:val="007D53B6"/>
    <w:rPr>
      <w:color w:val="008000"/>
      <w:shd w:val="clear" w:color="auto" w:fill="auto"/>
    </w:rPr>
  </w:style>
  <w:style w:type="character" w:customStyle="1" w:styleId="Marker2">
    <w:name w:val="Marker2"/>
    <w:rsid w:val="007D53B6"/>
    <w:rPr>
      <w:color w:val="FF0000"/>
      <w:shd w:val="clear" w:color="auto" w:fill="auto"/>
    </w:rPr>
  </w:style>
  <w:style w:type="paragraph" w:customStyle="1" w:styleId="Point0number">
    <w:name w:val="Point 0 (number)"/>
    <w:basedOn w:val="Normal"/>
    <w:rsid w:val="007D53B6"/>
    <w:pPr>
      <w:numPr>
        <w:numId w:val="71"/>
      </w:numPr>
    </w:pPr>
  </w:style>
  <w:style w:type="paragraph" w:customStyle="1" w:styleId="Point1number">
    <w:name w:val="Point 1 (number)"/>
    <w:basedOn w:val="Normal"/>
    <w:rsid w:val="007D53B6"/>
    <w:pPr>
      <w:numPr>
        <w:ilvl w:val="2"/>
        <w:numId w:val="71"/>
      </w:numPr>
    </w:pPr>
  </w:style>
  <w:style w:type="paragraph" w:customStyle="1" w:styleId="Point2number">
    <w:name w:val="Point 2 (number)"/>
    <w:basedOn w:val="Normal"/>
    <w:rsid w:val="007D53B6"/>
    <w:pPr>
      <w:numPr>
        <w:ilvl w:val="4"/>
        <w:numId w:val="71"/>
      </w:numPr>
    </w:pPr>
  </w:style>
  <w:style w:type="paragraph" w:customStyle="1" w:styleId="Point3number">
    <w:name w:val="Point 3 (number)"/>
    <w:basedOn w:val="Normal"/>
    <w:rsid w:val="007D53B6"/>
    <w:pPr>
      <w:numPr>
        <w:ilvl w:val="6"/>
        <w:numId w:val="71"/>
      </w:numPr>
    </w:pPr>
  </w:style>
  <w:style w:type="paragraph" w:customStyle="1" w:styleId="Point0letter">
    <w:name w:val="Point 0 (letter)"/>
    <w:basedOn w:val="Normal"/>
    <w:rsid w:val="007D53B6"/>
    <w:pPr>
      <w:numPr>
        <w:ilvl w:val="1"/>
        <w:numId w:val="71"/>
      </w:numPr>
    </w:pPr>
  </w:style>
  <w:style w:type="paragraph" w:customStyle="1" w:styleId="Point1letter">
    <w:name w:val="Point 1 (letter)"/>
    <w:basedOn w:val="Normal"/>
    <w:rsid w:val="007D53B6"/>
    <w:pPr>
      <w:numPr>
        <w:ilvl w:val="3"/>
        <w:numId w:val="71"/>
      </w:numPr>
    </w:pPr>
  </w:style>
  <w:style w:type="paragraph" w:customStyle="1" w:styleId="Point2letter">
    <w:name w:val="Point 2 (letter)"/>
    <w:basedOn w:val="Normal"/>
    <w:rsid w:val="007D53B6"/>
    <w:pPr>
      <w:numPr>
        <w:ilvl w:val="5"/>
        <w:numId w:val="71"/>
      </w:numPr>
    </w:pPr>
  </w:style>
  <w:style w:type="paragraph" w:customStyle="1" w:styleId="Point3letter">
    <w:name w:val="Point 3 (letter)"/>
    <w:basedOn w:val="Normal"/>
    <w:rsid w:val="007D53B6"/>
    <w:pPr>
      <w:numPr>
        <w:ilvl w:val="7"/>
        <w:numId w:val="71"/>
      </w:numPr>
    </w:pPr>
  </w:style>
  <w:style w:type="paragraph" w:customStyle="1" w:styleId="Point4letter">
    <w:name w:val="Point 4 (letter)"/>
    <w:basedOn w:val="Normal"/>
    <w:rsid w:val="007D53B6"/>
    <w:pPr>
      <w:numPr>
        <w:ilvl w:val="8"/>
        <w:numId w:val="71"/>
      </w:numPr>
    </w:pPr>
  </w:style>
  <w:style w:type="paragraph" w:customStyle="1" w:styleId="Bullet0">
    <w:name w:val="Bullet 0"/>
    <w:basedOn w:val="Normal"/>
    <w:rsid w:val="007D53B6"/>
    <w:pPr>
      <w:numPr>
        <w:numId w:val="72"/>
      </w:numPr>
    </w:pPr>
  </w:style>
  <w:style w:type="paragraph" w:customStyle="1" w:styleId="Bullet1">
    <w:name w:val="Bullet 1"/>
    <w:basedOn w:val="Normal"/>
    <w:rsid w:val="007D53B6"/>
    <w:pPr>
      <w:numPr>
        <w:numId w:val="73"/>
      </w:numPr>
    </w:pPr>
  </w:style>
  <w:style w:type="paragraph" w:customStyle="1" w:styleId="Bullet2">
    <w:name w:val="Bullet 2"/>
    <w:basedOn w:val="Normal"/>
    <w:rsid w:val="007D53B6"/>
    <w:pPr>
      <w:numPr>
        <w:numId w:val="74"/>
      </w:numPr>
    </w:pPr>
  </w:style>
  <w:style w:type="paragraph" w:customStyle="1" w:styleId="Bullet3">
    <w:name w:val="Bullet 3"/>
    <w:basedOn w:val="Normal"/>
    <w:rsid w:val="007D53B6"/>
    <w:pPr>
      <w:numPr>
        <w:numId w:val="75"/>
      </w:numPr>
    </w:pPr>
  </w:style>
  <w:style w:type="paragraph" w:customStyle="1" w:styleId="Bullet4">
    <w:name w:val="Bullet 4"/>
    <w:basedOn w:val="Normal"/>
    <w:rsid w:val="007D53B6"/>
    <w:pPr>
      <w:numPr>
        <w:numId w:val="76"/>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77"/>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rsid w:val="007D53B6"/>
    <w:rPr>
      <w:b/>
      <w:u w:val="single"/>
      <w:shd w:val="clear" w:color="auto" w:fill="auto"/>
    </w:rPr>
  </w:style>
  <w:style w:type="character" w:customStyle="1" w:styleId="Deleted">
    <w:name w:val="Deleted"/>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5633851">
      <w:bodyDiv w:val="1"/>
      <w:marLeft w:val="0"/>
      <w:marRight w:val="0"/>
      <w:marTop w:val="0"/>
      <w:marBottom w:val="0"/>
      <w:divBdr>
        <w:top w:val="none" w:sz="0" w:space="0" w:color="auto"/>
        <w:left w:val="none" w:sz="0" w:space="0" w:color="auto"/>
        <w:bottom w:val="none" w:sz="0" w:space="0" w:color="auto"/>
        <w:right w:val="none" w:sz="0" w:space="0" w:color="auto"/>
      </w:divBdr>
    </w:div>
    <w:div w:id="84616228">
      <w:bodyDiv w:val="1"/>
      <w:marLeft w:val="0"/>
      <w:marRight w:val="0"/>
      <w:marTop w:val="0"/>
      <w:marBottom w:val="0"/>
      <w:divBdr>
        <w:top w:val="none" w:sz="0" w:space="0" w:color="auto"/>
        <w:left w:val="none" w:sz="0" w:space="0" w:color="auto"/>
        <w:bottom w:val="none" w:sz="0" w:space="0" w:color="auto"/>
        <w:right w:val="none" w:sz="0" w:space="0" w:color="auto"/>
      </w:divBdr>
    </w:div>
    <w:div w:id="88699354">
      <w:bodyDiv w:val="1"/>
      <w:marLeft w:val="0"/>
      <w:marRight w:val="0"/>
      <w:marTop w:val="0"/>
      <w:marBottom w:val="0"/>
      <w:divBdr>
        <w:top w:val="none" w:sz="0" w:space="0" w:color="auto"/>
        <w:left w:val="none" w:sz="0" w:space="0" w:color="auto"/>
        <w:bottom w:val="none" w:sz="0" w:space="0" w:color="auto"/>
        <w:right w:val="none" w:sz="0" w:space="0" w:color="auto"/>
      </w:divBdr>
    </w:div>
    <w:div w:id="116679750">
      <w:bodyDiv w:val="1"/>
      <w:marLeft w:val="0"/>
      <w:marRight w:val="0"/>
      <w:marTop w:val="0"/>
      <w:marBottom w:val="0"/>
      <w:divBdr>
        <w:top w:val="none" w:sz="0" w:space="0" w:color="auto"/>
        <w:left w:val="none" w:sz="0" w:space="0" w:color="auto"/>
        <w:bottom w:val="none" w:sz="0" w:space="0" w:color="auto"/>
        <w:right w:val="none" w:sz="0" w:space="0" w:color="auto"/>
      </w:divBdr>
    </w:div>
    <w:div w:id="132723572">
      <w:bodyDiv w:val="1"/>
      <w:marLeft w:val="0"/>
      <w:marRight w:val="0"/>
      <w:marTop w:val="0"/>
      <w:marBottom w:val="0"/>
      <w:divBdr>
        <w:top w:val="none" w:sz="0" w:space="0" w:color="auto"/>
        <w:left w:val="none" w:sz="0" w:space="0" w:color="auto"/>
        <w:bottom w:val="none" w:sz="0" w:space="0" w:color="auto"/>
        <w:right w:val="none" w:sz="0" w:space="0" w:color="auto"/>
      </w:divBdr>
      <w:divsChild>
        <w:div w:id="2044016257">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145128771">
      <w:bodyDiv w:val="1"/>
      <w:marLeft w:val="0"/>
      <w:marRight w:val="0"/>
      <w:marTop w:val="0"/>
      <w:marBottom w:val="0"/>
      <w:divBdr>
        <w:top w:val="none" w:sz="0" w:space="0" w:color="auto"/>
        <w:left w:val="none" w:sz="0" w:space="0" w:color="auto"/>
        <w:bottom w:val="none" w:sz="0" w:space="0" w:color="auto"/>
        <w:right w:val="none" w:sz="0" w:space="0" w:color="auto"/>
      </w:divBdr>
    </w:div>
    <w:div w:id="198246634">
      <w:bodyDiv w:val="1"/>
      <w:marLeft w:val="0"/>
      <w:marRight w:val="0"/>
      <w:marTop w:val="0"/>
      <w:marBottom w:val="0"/>
      <w:divBdr>
        <w:top w:val="none" w:sz="0" w:space="0" w:color="auto"/>
        <w:left w:val="none" w:sz="0" w:space="0" w:color="auto"/>
        <w:bottom w:val="none" w:sz="0" w:space="0" w:color="auto"/>
        <w:right w:val="none" w:sz="0" w:space="0" w:color="auto"/>
      </w:divBdr>
    </w:div>
    <w:div w:id="386144764">
      <w:bodyDiv w:val="1"/>
      <w:marLeft w:val="0"/>
      <w:marRight w:val="0"/>
      <w:marTop w:val="0"/>
      <w:marBottom w:val="0"/>
      <w:divBdr>
        <w:top w:val="none" w:sz="0" w:space="0" w:color="auto"/>
        <w:left w:val="none" w:sz="0" w:space="0" w:color="auto"/>
        <w:bottom w:val="none" w:sz="0" w:space="0" w:color="auto"/>
        <w:right w:val="none" w:sz="0" w:space="0" w:color="auto"/>
      </w:divBdr>
    </w:div>
    <w:div w:id="411316494">
      <w:bodyDiv w:val="1"/>
      <w:marLeft w:val="0"/>
      <w:marRight w:val="0"/>
      <w:marTop w:val="0"/>
      <w:marBottom w:val="0"/>
      <w:divBdr>
        <w:top w:val="none" w:sz="0" w:space="0" w:color="auto"/>
        <w:left w:val="none" w:sz="0" w:space="0" w:color="auto"/>
        <w:bottom w:val="none" w:sz="0" w:space="0" w:color="auto"/>
        <w:right w:val="none" w:sz="0" w:space="0" w:color="auto"/>
      </w:divBdr>
    </w:div>
    <w:div w:id="588343514">
      <w:bodyDiv w:val="1"/>
      <w:marLeft w:val="0"/>
      <w:marRight w:val="0"/>
      <w:marTop w:val="0"/>
      <w:marBottom w:val="0"/>
      <w:divBdr>
        <w:top w:val="none" w:sz="0" w:space="0" w:color="auto"/>
        <w:left w:val="none" w:sz="0" w:space="0" w:color="auto"/>
        <w:bottom w:val="none" w:sz="0" w:space="0" w:color="auto"/>
        <w:right w:val="none" w:sz="0" w:space="0" w:color="auto"/>
      </w:divBdr>
    </w:div>
    <w:div w:id="604576384">
      <w:bodyDiv w:val="1"/>
      <w:marLeft w:val="0"/>
      <w:marRight w:val="0"/>
      <w:marTop w:val="0"/>
      <w:marBottom w:val="0"/>
      <w:divBdr>
        <w:top w:val="none" w:sz="0" w:space="0" w:color="auto"/>
        <w:left w:val="none" w:sz="0" w:space="0" w:color="auto"/>
        <w:bottom w:val="none" w:sz="0" w:space="0" w:color="auto"/>
        <w:right w:val="none" w:sz="0" w:space="0" w:color="auto"/>
      </w:divBdr>
    </w:div>
    <w:div w:id="696810736">
      <w:bodyDiv w:val="1"/>
      <w:marLeft w:val="0"/>
      <w:marRight w:val="0"/>
      <w:marTop w:val="0"/>
      <w:marBottom w:val="0"/>
      <w:divBdr>
        <w:top w:val="none" w:sz="0" w:space="0" w:color="auto"/>
        <w:left w:val="none" w:sz="0" w:space="0" w:color="auto"/>
        <w:bottom w:val="none" w:sz="0" w:space="0" w:color="auto"/>
        <w:right w:val="none" w:sz="0" w:space="0" w:color="auto"/>
      </w:divBdr>
      <w:divsChild>
        <w:div w:id="2762576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05830454">
      <w:bodyDiv w:val="1"/>
      <w:marLeft w:val="0"/>
      <w:marRight w:val="0"/>
      <w:marTop w:val="0"/>
      <w:marBottom w:val="0"/>
      <w:divBdr>
        <w:top w:val="none" w:sz="0" w:space="0" w:color="auto"/>
        <w:left w:val="none" w:sz="0" w:space="0" w:color="auto"/>
        <w:bottom w:val="none" w:sz="0" w:space="0" w:color="auto"/>
        <w:right w:val="none" w:sz="0" w:space="0" w:color="auto"/>
      </w:divBdr>
    </w:div>
    <w:div w:id="717827732">
      <w:bodyDiv w:val="1"/>
      <w:marLeft w:val="0"/>
      <w:marRight w:val="0"/>
      <w:marTop w:val="0"/>
      <w:marBottom w:val="0"/>
      <w:divBdr>
        <w:top w:val="none" w:sz="0" w:space="0" w:color="auto"/>
        <w:left w:val="none" w:sz="0" w:space="0" w:color="auto"/>
        <w:bottom w:val="none" w:sz="0" w:space="0" w:color="auto"/>
        <w:right w:val="none" w:sz="0" w:space="0" w:color="auto"/>
      </w:divBdr>
      <w:divsChild>
        <w:div w:id="137935672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22485077">
      <w:bodyDiv w:val="1"/>
      <w:marLeft w:val="0"/>
      <w:marRight w:val="0"/>
      <w:marTop w:val="0"/>
      <w:marBottom w:val="0"/>
      <w:divBdr>
        <w:top w:val="none" w:sz="0" w:space="0" w:color="auto"/>
        <w:left w:val="none" w:sz="0" w:space="0" w:color="auto"/>
        <w:bottom w:val="none" w:sz="0" w:space="0" w:color="auto"/>
        <w:right w:val="none" w:sz="0" w:space="0" w:color="auto"/>
      </w:divBdr>
    </w:div>
    <w:div w:id="726075527">
      <w:bodyDiv w:val="1"/>
      <w:marLeft w:val="0"/>
      <w:marRight w:val="0"/>
      <w:marTop w:val="0"/>
      <w:marBottom w:val="0"/>
      <w:divBdr>
        <w:top w:val="none" w:sz="0" w:space="0" w:color="auto"/>
        <w:left w:val="none" w:sz="0" w:space="0" w:color="auto"/>
        <w:bottom w:val="none" w:sz="0" w:space="0" w:color="auto"/>
        <w:right w:val="none" w:sz="0" w:space="0" w:color="auto"/>
      </w:divBdr>
    </w:div>
    <w:div w:id="748187482">
      <w:bodyDiv w:val="1"/>
      <w:marLeft w:val="0"/>
      <w:marRight w:val="0"/>
      <w:marTop w:val="0"/>
      <w:marBottom w:val="0"/>
      <w:divBdr>
        <w:top w:val="none" w:sz="0" w:space="0" w:color="auto"/>
        <w:left w:val="none" w:sz="0" w:space="0" w:color="auto"/>
        <w:bottom w:val="none" w:sz="0" w:space="0" w:color="auto"/>
        <w:right w:val="none" w:sz="0" w:space="0" w:color="auto"/>
      </w:divBdr>
    </w:div>
    <w:div w:id="798455092">
      <w:bodyDiv w:val="1"/>
      <w:marLeft w:val="0"/>
      <w:marRight w:val="0"/>
      <w:marTop w:val="0"/>
      <w:marBottom w:val="0"/>
      <w:divBdr>
        <w:top w:val="none" w:sz="0" w:space="0" w:color="auto"/>
        <w:left w:val="none" w:sz="0" w:space="0" w:color="auto"/>
        <w:bottom w:val="none" w:sz="0" w:space="0" w:color="auto"/>
        <w:right w:val="none" w:sz="0" w:space="0" w:color="auto"/>
      </w:divBdr>
    </w:div>
    <w:div w:id="811486861">
      <w:bodyDiv w:val="1"/>
      <w:marLeft w:val="0"/>
      <w:marRight w:val="0"/>
      <w:marTop w:val="0"/>
      <w:marBottom w:val="0"/>
      <w:divBdr>
        <w:top w:val="none" w:sz="0" w:space="0" w:color="auto"/>
        <w:left w:val="none" w:sz="0" w:space="0" w:color="auto"/>
        <w:bottom w:val="none" w:sz="0" w:space="0" w:color="auto"/>
        <w:right w:val="none" w:sz="0" w:space="0" w:color="auto"/>
      </w:divBdr>
    </w:div>
    <w:div w:id="896824313">
      <w:bodyDiv w:val="1"/>
      <w:marLeft w:val="0"/>
      <w:marRight w:val="0"/>
      <w:marTop w:val="0"/>
      <w:marBottom w:val="0"/>
      <w:divBdr>
        <w:top w:val="none" w:sz="0" w:space="0" w:color="auto"/>
        <w:left w:val="none" w:sz="0" w:space="0" w:color="auto"/>
        <w:bottom w:val="none" w:sz="0" w:space="0" w:color="auto"/>
        <w:right w:val="none" w:sz="0" w:space="0" w:color="auto"/>
      </w:divBdr>
    </w:div>
    <w:div w:id="1016152079">
      <w:bodyDiv w:val="1"/>
      <w:marLeft w:val="0"/>
      <w:marRight w:val="0"/>
      <w:marTop w:val="0"/>
      <w:marBottom w:val="0"/>
      <w:divBdr>
        <w:top w:val="none" w:sz="0" w:space="0" w:color="auto"/>
        <w:left w:val="none" w:sz="0" w:space="0" w:color="auto"/>
        <w:bottom w:val="none" w:sz="0" w:space="0" w:color="auto"/>
        <w:right w:val="none" w:sz="0" w:space="0" w:color="auto"/>
      </w:divBdr>
    </w:div>
    <w:div w:id="1063218559">
      <w:bodyDiv w:val="1"/>
      <w:marLeft w:val="0"/>
      <w:marRight w:val="0"/>
      <w:marTop w:val="0"/>
      <w:marBottom w:val="0"/>
      <w:divBdr>
        <w:top w:val="none" w:sz="0" w:space="0" w:color="auto"/>
        <w:left w:val="none" w:sz="0" w:space="0" w:color="auto"/>
        <w:bottom w:val="none" w:sz="0" w:space="0" w:color="auto"/>
        <w:right w:val="none" w:sz="0" w:space="0" w:color="auto"/>
      </w:divBdr>
    </w:div>
    <w:div w:id="1142697651">
      <w:bodyDiv w:val="1"/>
      <w:marLeft w:val="0"/>
      <w:marRight w:val="0"/>
      <w:marTop w:val="0"/>
      <w:marBottom w:val="0"/>
      <w:divBdr>
        <w:top w:val="none" w:sz="0" w:space="0" w:color="auto"/>
        <w:left w:val="none" w:sz="0" w:space="0" w:color="auto"/>
        <w:bottom w:val="none" w:sz="0" w:space="0" w:color="auto"/>
        <w:right w:val="none" w:sz="0" w:space="0" w:color="auto"/>
      </w:divBdr>
    </w:div>
    <w:div w:id="1146971381">
      <w:bodyDiv w:val="1"/>
      <w:marLeft w:val="0"/>
      <w:marRight w:val="0"/>
      <w:marTop w:val="0"/>
      <w:marBottom w:val="0"/>
      <w:divBdr>
        <w:top w:val="none" w:sz="0" w:space="0" w:color="auto"/>
        <w:left w:val="none" w:sz="0" w:space="0" w:color="auto"/>
        <w:bottom w:val="none" w:sz="0" w:space="0" w:color="auto"/>
        <w:right w:val="none" w:sz="0" w:space="0" w:color="auto"/>
      </w:divBdr>
      <w:divsChild>
        <w:div w:id="133787808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92300554">
      <w:bodyDiv w:val="1"/>
      <w:marLeft w:val="0"/>
      <w:marRight w:val="0"/>
      <w:marTop w:val="0"/>
      <w:marBottom w:val="0"/>
      <w:divBdr>
        <w:top w:val="none" w:sz="0" w:space="0" w:color="auto"/>
        <w:left w:val="none" w:sz="0" w:space="0" w:color="auto"/>
        <w:bottom w:val="none" w:sz="0" w:space="0" w:color="auto"/>
        <w:right w:val="none" w:sz="0" w:space="0" w:color="auto"/>
      </w:divBdr>
    </w:div>
    <w:div w:id="1207793746">
      <w:bodyDiv w:val="1"/>
      <w:marLeft w:val="0"/>
      <w:marRight w:val="0"/>
      <w:marTop w:val="0"/>
      <w:marBottom w:val="0"/>
      <w:divBdr>
        <w:top w:val="none" w:sz="0" w:space="0" w:color="auto"/>
        <w:left w:val="none" w:sz="0" w:space="0" w:color="auto"/>
        <w:bottom w:val="none" w:sz="0" w:space="0" w:color="auto"/>
        <w:right w:val="none" w:sz="0" w:space="0" w:color="auto"/>
      </w:divBdr>
      <w:divsChild>
        <w:div w:id="43013023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29343418">
      <w:bodyDiv w:val="1"/>
      <w:marLeft w:val="0"/>
      <w:marRight w:val="0"/>
      <w:marTop w:val="0"/>
      <w:marBottom w:val="0"/>
      <w:divBdr>
        <w:top w:val="none" w:sz="0" w:space="0" w:color="auto"/>
        <w:left w:val="none" w:sz="0" w:space="0" w:color="auto"/>
        <w:bottom w:val="none" w:sz="0" w:space="0" w:color="auto"/>
        <w:right w:val="none" w:sz="0" w:space="0" w:color="auto"/>
      </w:divBdr>
    </w:div>
    <w:div w:id="1323435016">
      <w:bodyDiv w:val="1"/>
      <w:marLeft w:val="0"/>
      <w:marRight w:val="0"/>
      <w:marTop w:val="0"/>
      <w:marBottom w:val="0"/>
      <w:divBdr>
        <w:top w:val="none" w:sz="0" w:space="0" w:color="auto"/>
        <w:left w:val="none" w:sz="0" w:space="0" w:color="auto"/>
        <w:bottom w:val="none" w:sz="0" w:space="0" w:color="auto"/>
        <w:right w:val="none" w:sz="0" w:space="0" w:color="auto"/>
      </w:divBdr>
    </w:div>
    <w:div w:id="1380475777">
      <w:bodyDiv w:val="1"/>
      <w:marLeft w:val="0"/>
      <w:marRight w:val="0"/>
      <w:marTop w:val="0"/>
      <w:marBottom w:val="0"/>
      <w:divBdr>
        <w:top w:val="none" w:sz="0" w:space="0" w:color="auto"/>
        <w:left w:val="none" w:sz="0" w:space="0" w:color="auto"/>
        <w:bottom w:val="none" w:sz="0" w:space="0" w:color="auto"/>
        <w:right w:val="none" w:sz="0" w:space="0" w:color="auto"/>
      </w:divBdr>
    </w:div>
    <w:div w:id="1515345473">
      <w:bodyDiv w:val="1"/>
      <w:marLeft w:val="0"/>
      <w:marRight w:val="0"/>
      <w:marTop w:val="0"/>
      <w:marBottom w:val="0"/>
      <w:divBdr>
        <w:top w:val="none" w:sz="0" w:space="0" w:color="auto"/>
        <w:left w:val="none" w:sz="0" w:space="0" w:color="auto"/>
        <w:bottom w:val="none" w:sz="0" w:space="0" w:color="auto"/>
        <w:right w:val="none" w:sz="0" w:space="0" w:color="auto"/>
      </w:divBdr>
    </w:div>
    <w:div w:id="1531144406">
      <w:bodyDiv w:val="1"/>
      <w:marLeft w:val="0"/>
      <w:marRight w:val="0"/>
      <w:marTop w:val="0"/>
      <w:marBottom w:val="0"/>
      <w:divBdr>
        <w:top w:val="none" w:sz="0" w:space="0" w:color="auto"/>
        <w:left w:val="none" w:sz="0" w:space="0" w:color="auto"/>
        <w:bottom w:val="none" w:sz="0" w:space="0" w:color="auto"/>
        <w:right w:val="none" w:sz="0" w:space="0" w:color="auto"/>
      </w:divBdr>
    </w:div>
    <w:div w:id="1563902606">
      <w:bodyDiv w:val="1"/>
      <w:marLeft w:val="0"/>
      <w:marRight w:val="0"/>
      <w:marTop w:val="0"/>
      <w:marBottom w:val="0"/>
      <w:divBdr>
        <w:top w:val="none" w:sz="0" w:space="0" w:color="auto"/>
        <w:left w:val="none" w:sz="0" w:space="0" w:color="auto"/>
        <w:bottom w:val="none" w:sz="0" w:space="0" w:color="auto"/>
        <w:right w:val="none" w:sz="0" w:space="0" w:color="auto"/>
      </w:divBdr>
    </w:div>
    <w:div w:id="1591430321">
      <w:bodyDiv w:val="1"/>
      <w:marLeft w:val="0"/>
      <w:marRight w:val="0"/>
      <w:marTop w:val="0"/>
      <w:marBottom w:val="0"/>
      <w:divBdr>
        <w:top w:val="none" w:sz="0" w:space="0" w:color="auto"/>
        <w:left w:val="none" w:sz="0" w:space="0" w:color="auto"/>
        <w:bottom w:val="none" w:sz="0" w:space="0" w:color="auto"/>
        <w:right w:val="none" w:sz="0" w:space="0" w:color="auto"/>
      </w:divBdr>
    </w:div>
    <w:div w:id="1620909836">
      <w:bodyDiv w:val="1"/>
      <w:marLeft w:val="0"/>
      <w:marRight w:val="0"/>
      <w:marTop w:val="0"/>
      <w:marBottom w:val="0"/>
      <w:divBdr>
        <w:top w:val="none" w:sz="0" w:space="0" w:color="auto"/>
        <w:left w:val="none" w:sz="0" w:space="0" w:color="auto"/>
        <w:bottom w:val="none" w:sz="0" w:space="0" w:color="auto"/>
        <w:right w:val="none" w:sz="0" w:space="0" w:color="auto"/>
      </w:divBdr>
      <w:divsChild>
        <w:div w:id="203496015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23219937">
      <w:bodyDiv w:val="1"/>
      <w:marLeft w:val="0"/>
      <w:marRight w:val="0"/>
      <w:marTop w:val="0"/>
      <w:marBottom w:val="0"/>
      <w:divBdr>
        <w:top w:val="none" w:sz="0" w:space="0" w:color="auto"/>
        <w:left w:val="none" w:sz="0" w:space="0" w:color="auto"/>
        <w:bottom w:val="none" w:sz="0" w:space="0" w:color="auto"/>
        <w:right w:val="none" w:sz="0" w:space="0" w:color="auto"/>
      </w:divBdr>
    </w:div>
    <w:div w:id="1634825301">
      <w:bodyDiv w:val="1"/>
      <w:marLeft w:val="0"/>
      <w:marRight w:val="0"/>
      <w:marTop w:val="0"/>
      <w:marBottom w:val="0"/>
      <w:divBdr>
        <w:top w:val="none" w:sz="0" w:space="0" w:color="auto"/>
        <w:left w:val="none" w:sz="0" w:space="0" w:color="auto"/>
        <w:bottom w:val="none" w:sz="0" w:space="0" w:color="auto"/>
        <w:right w:val="none" w:sz="0" w:space="0" w:color="auto"/>
      </w:divBdr>
    </w:div>
    <w:div w:id="1750418662">
      <w:bodyDiv w:val="1"/>
      <w:marLeft w:val="0"/>
      <w:marRight w:val="0"/>
      <w:marTop w:val="0"/>
      <w:marBottom w:val="0"/>
      <w:divBdr>
        <w:top w:val="none" w:sz="0" w:space="0" w:color="auto"/>
        <w:left w:val="none" w:sz="0" w:space="0" w:color="auto"/>
        <w:bottom w:val="none" w:sz="0" w:space="0" w:color="auto"/>
        <w:right w:val="none" w:sz="0" w:space="0" w:color="auto"/>
      </w:divBdr>
    </w:div>
    <w:div w:id="1765226086">
      <w:bodyDiv w:val="1"/>
      <w:marLeft w:val="0"/>
      <w:marRight w:val="0"/>
      <w:marTop w:val="0"/>
      <w:marBottom w:val="0"/>
      <w:divBdr>
        <w:top w:val="none" w:sz="0" w:space="0" w:color="auto"/>
        <w:left w:val="none" w:sz="0" w:space="0" w:color="auto"/>
        <w:bottom w:val="none" w:sz="0" w:space="0" w:color="auto"/>
        <w:right w:val="none" w:sz="0" w:space="0" w:color="auto"/>
      </w:divBdr>
    </w:div>
    <w:div w:id="1858695831">
      <w:bodyDiv w:val="1"/>
      <w:marLeft w:val="0"/>
      <w:marRight w:val="0"/>
      <w:marTop w:val="0"/>
      <w:marBottom w:val="0"/>
      <w:divBdr>
        <w:top w:val="none" w:sz="0" w:space="0" w:color="auto"/>
        <w:left w:val="none" w:sz="0" w:space="0" w:color="auto"/>
        <w:bottom w:val="none" w:sz="0" w:space="0" w:color="auto"/>
        <w:right w:val="none" w:sz="0" w:space="0" w:color="auto"/>
      </w:divBdr>
    </w:div>
    <w:div w:id="1934514035">
      <w:bodyDiv w:val="1"/>
      <w:marLeft w:val="0"/>
      <w:marRight w:val="0"/>
      <w:marTop w:val="0"/>
      <w:marBottom w:val="0"/>
      <w:divBdr>
        <w:top w:val="none" w:sz="0" w:space="0" w:color="auto"/>
        <w:left w:val="none" w:sz="0" w:space="0" w:color="auto"/>
        <w:bottom w:val="none" w:sz="0" w:space="0" w:color="auto"/>
        <w:right w:val="none" w:sz="0" w:space="0" w:color="auto"/>
      </w:divBdr>
    </w:div>
    <w:div w:id="1955208845">
      <w:bodyDiv w:val="1"/>
      <w:marLeft w:val="0"/>
      <w:marRight w:val="0"/>
      <w:marTop w:val="0"/>
      <w:marBottom w:val="0"/>
      <w:divBdr>
        <w:top w:val="none" w:sz="0" w:space="0" w:color="auto"/>
        <w:left w:val="none" w:sz="0" w:space="0" w:color="auto"/>
        <w:bottom w:val="none" w:sz="0" w:space="0" w:color="auto"/>
        <w:right w:val="none" w:sz="0" w:space="0" w:color="auto"/>
      </w:divBdr>
    </w:div>
    <w:div w:id="20889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7F3B6-44A9-4E1F-BAB4-A6485938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19</Pages>
  <Words>28328</Words>
  <Characters>164871</Characters>
  <Application>Microsoft Office Word</Application>
  <DocSecurity>0</DocSecurity>
  <Lines>3170</Lines>
  <Paragraphs>898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Christine (COMP)</dc:creator>
  <cp:lastModifiedBy>JACOB Christine (COMP)</cp:lastModifiedBy>
  <cp:revision>2</cp:revision>
  <cp:lastPrinted>2013-12-13T15:02:00Z</cp:lastPrinted>
  <dcterms:created xsi:type="dcterms:W3CDTF">2014-01-16T10:26:00Z</dcterms:created>
  <dcterms:modified xsi:type="dcterms:W3CDTF">2014-01-16T10:26:00Z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5.8.3, Build 20130911</vt:lpwstr>
  </property>
  <property fmtid="{D5CDD505-2E9C-101B-9397-08002B2CF9AE}" pid="6" name="Created using">
    <vt:lpwstr>LW 5.8.2, Build 20120919</vt:lpwstr>
  </property>
  <property fmtid="{D5CDD505-2E9C-101B-9397-08002B2CF9AE}" pid="7" name="LWTemplateID">
    <vt:lpwstr>SJ-002</vt:lpwstr>
  </property>
  <property fmtid="{D5CDD505-2E9C-101B-9397-08002B2CF9AE}" pid="8" name="_NewReviewCycle">
    <vt:lpwstr/>
  </property>
  <property fmtid="{D5CDD505-2E9C-101B-9397-08002B2CF9AE}" pid="9" name="Part">
    <vt:lpwstr>1</vt:lpwstr>
  </property>
  <property fmtid="{D5CDD505-2E9C-101B-9397-08002B2CF9AE}" pid="10" name="Total parts">
    <vt:lpwstr>1</vt:lpwstr>
  </property>
  <property fmtid="{D5CDD505-2E9C-101B-9397-08002B2CF9AE}" pid="11" name="_AdHocReviewCycleID">
    <vt:i4>-1844334862</vt:i4>
  </property>
  <property fmtid="{D5CDD505-2E9C-101B-9397-08002B2CF9AE}" pid="12" name="_EmailSubject">
    <vt:lpwstr>GBER Rendez-vous clause as agreed in hebdo</vt:lpwstr>
  </property>
  <property fmtid="{D5CDD505-2E9C-101B-9397-08002B2CF9AE}" pid="13" name="_AuthorEmail">
    <vt:lpwstr>Mercedes.CAMPO-MOZO@ec.europa.eu</vt:lpwstr>
  </property>
  <property fmtid="{D5CDD505-2E9C-101B-9397-08002B2CF9AE}" pid="14" name="_AuthorEmailDisplayName">
    <vt:lpwstr>CAMPO MOZO Maria De Las Mercedes (COMP)</vt:lpwstr>
  </property>
  <property fmtid="{D5CDD505-2E9C-101B-9397-08002B2CF9AE}" pid="15" name="_ReviewingToolsShownOnce">
    <vt:lpwstr/>
  </property>
  <property fmtid="{D5CDD505-2E9C-101B-9397-08002B2CF9AE}" pid="16" name="DQCStatus">
    <vt:lpwstr>Yellow (DQC version 03)</vt:lpwstr>
  </property>
</Properties>
</file>