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470" w:rsidRPr="00DB79A1" w:rsidRDefault="00E16F09" w:rsidP="00106470">
      <w:pPr>
        <w:pStyle w:val="Default"/>
        <w:rPr>
          <w:rFonts w:asciiTheme="majorHAnsi" w:hAnsiTheme="majorHAnsi"/>
          <w:sz w:val="20"/>
          <w:szCs w:val="20"/>
        </w:rPr>
      </w:pPr>
      <w:r w:rsidRPr="00DB79A1">
        <w:rPr>
          <w:rFonts w:asciiTheme="majorHAnsi" w:hAnsiTheme="majorHAnsi"/>
          <w:noProof/>
          <w:sz w:val="20"/>
          <w:szCs w:val="20"/>
          <w:lang w:eastAsia="bg-BG"/>
        </w:rPr>
        <mc:AlternateContent>
          <mc:Choice Requires="wps">
            <w:drawing>
              <wp:anchor distT="0" distB="0" distL="114300" distR="114300" simplePos="0" relativeHeight="251659264" behindDoc="0" locked="0" layoutInCell="1" allowOverlap="1" wp14:anchorId="09F2D9AC" wp14:editId="44953EC7">
                <wp:simplePos x="0" y="0"/>
                <wp:positionH relativeFrom="column">
                  <wp:posOffset>68580</wp:posOffset>
                </wp:positionH>
                <wp:positionV relativeFrom="paragraph">
                  <wp:posOffset>49530</wp:posOffset>
                </wp:positionV>
                <wp:extent cx="68294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533400"/>
                        </a:xfrm>
                        <a:prstGeom prst="roundRect">
                          <a:avLst/>
                        </a:prstGeom>
                        <a:solidFill>
                          <a:schemeClr val="accent1">
                            <a:lumMod val="75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67D" w:rsidRPr="00E16F09" w:rsidRDefault="00E5067D"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E5067D" w:rsidRPr="00E16F09" w:rsidRDefault="00E5067D"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3.9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IwAIAACcGAAAOAAAAZHJzL2Uyb0RvYy54bWysVNtu2zAMfR+wfxD0vtpJk16MOkXQosOA&#10;bi3aDn1WZCk2IIuapCTOvn6UZLvXbcCwF1sUyUPyiOTZedcqshXWNaBLOjnIKRGaQ9XodUm/P1x9&#10;OqHEeaYrpkCLku6Fo+eLjx/OdqYQU6hBVcISBNGu2JmS1t6bIsscr0XL3AEYoVEpwbbMo2jXWWXZ&#10;DtFblU3z/Cjbga2MBS6cw9vLpKSLiC+l4P5GSic8USXF3Hz82vhdhW+2OGPF2jJTN7xPg/1DFi1r&#10;NAYdoS6ZZ2RjmzdQbcMtOJD+gEObgZQNF7EGrGaSv6rmvmZGxFqQHGdGmtz/g+XftreWNBW+HSWa&#10;tfhEd7DRlajIHZLH9FoJMgk07Ywr0Pre3NpecngMNXfStuGP1ZAuUrsfqRWdJxwvj06mp7PpnBKO&#10;uvnh4SyP3GdP3sY6/1lAS8KhpDZkEVKItLLttfMYFu0HuxDRgWqqq0apKISeERfKki3D12acC+0n&#10;0V1t2q9QpfvjeT7Gjm0WXCLyCzSl/xbAd9M34NiSCZwVGBNbL8U8Ga4x/9/GRF0ImgWiE7Xx5PdK&#10;hFSUvhMSXwrJTHFHoLf1uppVIl2HageqR49YbgQMyBIJHLETYaPlS+z0Ar19cBVxxEbnPBLyR+fR&#10;I0YG7UfnttFg3wNQ+Ip95GQ/kJSoCSz5btX1XbmCao8tbSHNujP8qsGOumbO3zKLw41rABeWv8GP&#10;VLArKfQnSmqwP9+7D/Y4c6ilZIfLoqTux4ZZQYn6onEaTyezWdguUZjNj6co2Oea1XON3rQXgB2K&#10;E4fZxWOw92o4SgvtI+61ZYiKKqY5xi4p93YQLnxaYrgZuVguoxluFMP8tb43PIAHgsOwPHSPzJp+&#10;rDwO5DcYFgsrXg1Wsg2eGpYbD7KJUxcoTrz21OM2ij3Ub86w7p7L0eppvy9+AQAA//8DAFBLAwQU&#10;AAYACAAAACEABTlXDN0AAAAIAQAADwAAAGRycy9kb3ducmV2LnhtbEyPzU7DMBCE70i8g7VI3Kid&#10;IrVpiFMBAgmhXig/ZzfeJhH2OordNH17tqdyGo1mNfNtuZ68EyMOsQukIZspEEh1sB01Gr4+X+9y&#10;EDEZssYFQg0njLCurq9KU9hwpA8ct6kRXEKxMBralPpCyli36E2chR6Js30YvElsh0bawRy53Ds5&#10;V2ohvemIF1rT43OL9e/24DW8vbv9fDw18SkO7uebss2LXG20vr2ZHh9AJJzS5RjO+IwOFTPtwoFs&#10;FI69YvKkYclyjlW+uAex07DKcpBVKf8/UP0BAAD//wMAUEsBAi0AFAAGAAgAAAAhALaDOJL+AAAA&#10;4QEAABMAAAAAAAAAAAAAAAAAAAAAAFtDb250ZW50X1R5cGVzXS54bWxQSwECLQAUAAYACAAAACEA&#10;OP0h/9YAAACUAQAACwAAAAAAAAAAAAAAAAAvAQAAX3JlbHMvLnJlbHNQSwECLQAUAAYACAAAACEA&#10;ikoOCMACAAAnBgAADgAAAAAAAAAAAAAAAAAuAgAAZHJzL2Uyb0RvYy54bWxQSwECLQAUAAYACAAA&#10;ACEABTlXDN0AAAAIAQAADwAAAAAAAAAAAAAAAAAaBQAAZHJzL2Rvd25yZXYueG1sUEsFBgAAAAAE&#10;AAQA8wAAACQGAAAAAA==&#10;" fillcolor="#365f91 [2404]" strokecolor="#c6d9f1 [671]" strokeweight="2pt">
                <v:textbox>
                  <w:txbxContent>
                    <w:p w:rsidR="00E5067D" w:rsidRPr="00E16F09" w:rsidRDefault="00E5067D"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E5067D" w:rsidRPr="00E16F09" w:rsidRDefault="00E5067D"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v:textbox>
              </v:roundrect>
            </w:pict>
          </mc:Fallback>
        </mc:AlternateContent>
      </w:r>
      <w:r w:rsidR="002E475B" w:rsidRPr="00DB79A1">
        <w:rPr>
          <w:rFonts w:asciiTheme="majorHAnsi" w:hAnsiTheme="majorHAnsi"/>
          <w:sz w:val="20"/>
          <w:szCs w:val="20"/>
        </w:rPr>
        <w:tab/>
      </w:r>
      <w:r w:rsidR="002E475B" w:rsidRPr="00DB79A1">
        <w:rPr>
          <w:rFonts w:asciiTheme="majorHAnsi" w:hAnsiTheme="majorHAnsi"/>
          <w:sz w:val="20"/>
          <w:szCs w:val="20"/>
        </w:rPr>
        <w:tab/>
      </w:r>
    </w:p>
    <w:p w:rsidR="00106470" w:rsidRPr="00DB79A1" w:rsidRDefault="00106470" w:rsidP="00106470">
      <w:pPr>
        <w:pStyle w:val="Default"/>
        <w:rPr>
          <w:rFonts w:asciiTheme="majorHAnsi" w:hAnsiTheme="majorHAnsi"/>
          <w:sz w:val="20"/>
          <w:szCs w:val="20"/>
        </w:rPr>
      </w:pPr>
    </w:p>
    <w:p w:rsidR="00106470" w:rsidRPr="00DB79A1" w:rsidRDefault="00106470" w:rsidP="00106470">
      <w:pPr>
        <w:pStyle w:val="Default"/>
        <w:rPr>
          <w:rFonts w:asciiTheme="majorHAnsi" w:hAnsiTheme="majorHAnsi"/>
          <w:sz w:val="20"/>
          <w:szCs w:val="20"/>
        </w:rPr>
      </w:pPr>
    </w:p>
    <w:p w:rsidR="00106470" w:rsidRPr="00DB79A1" w:rsidRDefault="00106470" w:rsidP="00106470">
      <w:pPr>
        <w:pStyle w:val="Default"/>
        <w:rPr>
          <w:rFonts w:asciiTheme="majorHAnsi" w:hAnsiTheme="majorHAnsi"/>
          <w:sz w:val="20"/>
          <w:szCs w:val="20"/>
        </w:rPr>
      </w:pPr>
    </w:p>
    <w:p w:rsidR="00E16F09" w:rsidRPr="004E6704" w:rsidRDefault="00106470" w:rsidP="005E5F13">
      <w:pPr>
        <w:pStyle w:val="Default"/>
        <w:jc w:val="right"/>
        <w:rPr>
          <w:rFonts w:asciiTheme="majorHAnsi" w:hAnsiTheme="majorHAnsi"/>
          <w:b/>
          <w:sz w:val="30"/>
          <w:szCs w:val="30"/>
        </w:rPr>
      </w:pPr>
      <w:r w:rsidRPr="004E6704">
        <w:rPr>
          <w:rFonts w:asciiTheme="majorHAnsi" w:hAnsiTheme="majorHAnsi"/>
          <w:b/>
          <w:sz w:val="30"/>
          <w:szCs w:val="30"/>
        </w:rPr>
        <w:t>№ 0</w:t>
      </w:r>
      <w:r w:rsidR="002803F3">
        <w:rPr>
          <w:rFonts w:asciiTheme="majorHAnsi" w:hAnsiTheme="majorHAnsi"/>
          <w:b/>
          <w:sz w:val="30"/>
          <w:szCs w:val="30"/>
          <w:lang w:val="en-US"/>
        </w:rPr>
        <w:t>3</w:t>
      </w:r>
      <w:r w:rsidRPr="004E6704">
        <w:rPr>
          <w:rFonts w:asciiTheme="majorHAnsi" w:hAnsiTheme="majorHAnsi"/>
          <w:b/>
          <w:sz w:val="30"/>
          <w:szCs w:val="30"/>
        </w:rPr>
        <w:t>/</w:t>
      </w:r>
      <w:r w:rsidR="008B5D9B" w:rsidRPr="004E6704">
        <w:rPr>
          <w:rFonts w:asciiTheme="majorHAnsi" w:hAnsiTheme="majorHAnsi"/>
          <w:b/>
          <w:sz w:val="30"/>
          <w:szCs w:val="30"/>
        </w:rPr>
        <w:t>20</w:t>
      </w:r>
      <w:r w:rsidRPr="004E6704">
        <w:rPr>
          <w:rFonts w:asciiTheme="majorHAnsi" w:hAnsiTheme="majorHAnsi"/>
          <w:b/>
          <w:sz w:val="30"/>
          <w:szCs w:val="30"/>
        </w:rPr>
        <w:t>15</w:t>
      </w:r>
    </w:p>
    <w:p w:rsidR="00E16F09" w:rsidRPr="00DB79A1" w:rsidRDefault="00E6540F" w:rsidP="00E16F09">
      <w:pPr>
        <w:pStyle w:val="Default"/>
        <w:jc w:val="right"/>
        <w:rPr>
          <w:rFonts w:asciiTheme="majorHAnsi" w:hAnsiTheme="majorHAnsi"/>
          <w:b/>
          <w:sz w:val="20"/>
          <w:szCs w:val="20"/>
        </w:rPr>
      </w:pPr>
      <w:r>
        <w:rPr>
          <w:rFonts w:asciiTheme="majorHAnsi" w:hAnsiTheme="majorHAnsi"/>
          <w:b/>
          <w:sz w:val="20"/>
          <w:szCs w:val="20"/>
        </w:rPr>
        <w:t xml:space="preserve">за периода от </w:t>
      </w:r>
      <w:r w:rsidR="00C326BE" w:rsidRPr="00DB79A1">
        <w:rPr>
          <w:rFonts w:asciiTheme="majorHAnsi" w:hAnsiTheme="majorHAnsi"/>
          <w:b/>
          <w:sz w:val="20"/>
          <w:szCs w:val="20"/>
        </w:rPr>
        <w:t>01.0</w:t>
      </w:r>
      <w:r w:rsidR="002803F3">
        <w:rPr>
          <w:rFonts w:asciiTheme="majorHAnsi" w:hAnsiTheme="majorHAnsi"/>
          <w:b/>
          <w:sz w:val="20"/>
          <w:szCs w:val="20"/>
          <w:lang w:val="en-US"/>
        </w:rPr>
        <w:t>9</w:t>
      </w:r>
      <w:r>
        <w:rPr>
          <w:rFonts w:asciiTheme="majorHAnsi" w:hAnsiTheme="majorHAnsi"/>
          <w:b/>
          <w:sz w:val="20"/>
          <w:szCs w:val="20"/>
        </w:rPr>
        <w:t xml:space="preserve"> до </w:t>
      </w:r>
      <w:r w:rsidR="00E44E85" w:rsidRPr="00DB79A1">
        <w:rPr>
          <w:rFonts w:asciiTheme="majorHAnsi" w:hAnsiTheme="majorHAnsi"/>
          <w:b/>
          <w:sz w:val="20"/>
          <w:szCs w:val="20"/>
        </w:rPr>
        <w:t>31.0</w:t>
      </w:r>
      <w:r w:rsidR="002803F3">
        <w:rPr>
          <w:rFonts w:asciiTheme="majorHAnsi" w:hAnsiTheme="majorHAnsi"/>
          <w:b/>
          <w:sz w:val="20"/>
          <w:szCs w:val="20"/>
          <w:lang w:val="en-US"/>
        </w:rPr>
        <w:t>9</w:t>
      </w:r>
      <w:r w:rsidR="00C95476">
        <w:rPr>
          <w:rFonts w:asciiTheme="majorHAnsi" w:hAnsiTheme="majorHAnsi"/>
          <w:b/>
          <w:sz w:val="20"/>
          <w:szCs w:val="20"/>
          <w:lang w:val="en-US"/>
        </w:rPr>
        <w:t>.</w:t>
      </w:r>
      <w:r w:rsidR="00E16F09" w:rsidRPr="00DB79A1">
        <w:rPr>
          <w:rFonts w:asciiTheme="majorHAnsi" w:hAnsiTheme="majorHAnsi"/>
          <w:b/>
          <w:sz w:val="20"/>
          <w:szCs w:val="20"/>
        </w:rPr>
        <w:t>2015 г.</w:t>
      </w:r>
    </w:p>
    <w:p w:rsidR="002E475B" w:rsidRPr="00DB79A1" w:rsidRDefault="00E16F09" w:rsidP="002E475B">
      <w:pPr>
        <w:pStyle w:val="Default"/>
        <w:jc w:val="center"/>
        <w:rPr>
          <w:rFonts w:ascii="Cambria" w:hAnsi="Cambria" w:cs="Cambria"/>
          <w:color w:val="auto"/>
          <w:sz w:val="56"/>
          <w:szCs w:val="56"/>
        </w:rPr>
      </w:pPr>
      <w:r w:rsidRPr="00DB79A1">
        <w:rPr>
          <w:rFonts w:ascii="Cambria" w:hAnsi="Cambria" w:cs="Cambria"/>
          <w:noProof/>
          <w:color w:val="auto"/>
          <w:sz w:val="56"/>
          <w:szCs w:val="56"/>
          <w:lang w:eastAsia="bg-BG"/>
        </w:rPr>
        <mc:AlternateContent>
          <mc:Choice Requires="wps">
            <w:drawing>
              <wp:anchor distT="0" distB="0" distL="114300" distR="114300" simplePos="0" relativeHeight="251660288" behindDoc="0" locked="0" layoutInCell="1" allowOverlap="1" wp14:anchorId="2C9620FA" wp14:editId="167BD1A4">
                <wp:simplePos x="0" y="0"/>
                <wp:positionH relativeFrom="column">
                  <wp:posOffset>68580</wp:posOffset>
                </wp:positionH>
                <wp:positionV relativeFrom="paragraph">
                  <wp:posOffset>58420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6pt" to="53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LzAEAAOUDAAAOAAAAZHJzL2Uyb0RvYy54bWysU9uO0zAQfUfiHyy/0ySVWErUdB+6ghcE&#10;Fbt8gNcZN9b6prFp0r9n7LRZBEgItC+OL3POzDkz2d5O1rATYNTedbxZ1ZyBk77X7tjxbw8f3mw4&#10;i0m4XhjvoONniPx29/rVdgwtrP3gTQ/IiMTFdgwdH1IKbVVFOYAVceUDOHpUHq1IdMRj1aMYid2a&#10;al3XN9XosQ/oJcRIt3fzI98VfqVApi9KRUjMdJxqS2XFsj7mtdptRXtEEQYtL2WI/6jCCu0o6UJ1&#10;J5Jg31H/RmW1RB+9SivpbeWV0hKKBlLT1L+ouR9EgKKFzIlhsSm+HK38fDog033H15w5YalF9wmF&#10;Pg6J7b1zZKBHts4+jSG2FL53B7ycYjhgFj0ptPlLcthUvD0v3sKUmKTLm3ebZlNTC+T1rXoGBozp&#10;I3jL8qbjRrssW7Ti9CkmSkah15B8bRwbadje128znw1UfaL+PT0M1IUcnkudiyu7dDYw476CIrFU&#10;TlP4y5jB3iA7CRoQISW41BSKnIWiM0xpYxZg/XfgJT5DoYzgv4AXRMnsXVrAVjuPf8qepmvJao6/&#10;OjDrzhY8+v5c2lasoVkqnl7mPg/rz+cCf/47dz8AAAD//wMAUEsDBBQABgAIAAAAIQAdYW9T2AAA&#10;AAcBAAAPAAAAZHJzL2Rvd25yZXYueG1sTI69TsMwFIV3JN7Bukhs1CZDadM4VahUNgYaBkY3vo0D&#10;8XUUu014e25ZYDw/OucrtrPvxQXH2AXS8LhQIJCaYDtqNbzX+4cViJgMWdMHQg3fGGFb3t4UJrdh&#10;oje8HFIreIRibjS4lIZcytg49CYuwoDE2SmM3iSWYyvtaCYe973MlFpKbzriB2cG3Dlsvg5nr6Ha&#10;1evspXZOfn48v+5jmGS/rLS+v5urDYiEc/orwxWf0aFkpmM4k42iZ62YPGlYZyCusXpasXH8NWRZ&#10;yP/85Q8AAAD//wMAUEsBAi0AFAAGAAgAAAAhALaDOJL+AAAA4QEAABMAAAAAAAAAAAAAAAAAAAAA&#10;AFtDb250ZW50X1R5cGVzXS54bWxQSwECLQAUAAYACAAAACEAOP0h/9YAAACUAQAACwAAAAAAAAAA&#10;AAAAAAAvAQAAX3JlbHMvLnJlbHNQSwECLQAUAAYACAAAACEArUo1S8wBAADlAwAADgAAAAAAAAAA&#10;AAAAAAAuAgAAZHJzL2Uyb0RvYy54bWxQSwECLQAUAAYACAAAACEAHWFvU9gAAAAHAQAADwAAAAAA&#10;AAAAAAAAAAAmBAAAZHJzL2Rvd25yZXYueG1sUEsFBgAAAAAEAAQA8wAAACsFAAAAAA==&#10;" strokecolor="#4579b8 [3044]" strokeweight="1.5pt">
                <v:stroke linestyle="thickThin"/>
              </v:line>
            </w:pict>
          </mc:Fallback>
        </mc:AlternateContent>
      </w:r>
      <w:r w:rsidR="002E475B" w:rsidRPr="00DB79A1">
        <w:rPr>
          <w:rFonts w:ascii="Cambria" w:hAnsi="Cambria" w:cs="Cambria"/>
          <w:color w:val="auto"/>
          <w:sz w:val="56"/>
          <w:szCs w:val="56"/>
        </w:rPr>
        <w:t xml:space="preserve">Информационен </w:t>
      </w:r>
      <w:r w:rsidR="00106470" w:rsidRPr="00DB79A1">
        <w:rPr>
          <w:rFonts w:ascii="Cambria" w:hAnsi="Cambria" w:cs="Cambria"/>
          <w:color w:val="auto"/>
          <w:sz w:val="56"/>
          <w:szCs w:val="56"/>
        </w:rPr>
        <w:t xml:space="preserve">електронен </w:t>
      </w:r>
      <w:r w:rsidR="002E475B" w:rsidRPr="00DB79A1">
        <w:rPr>
          <w:rFonts w:ascii="Cambria" w:hAnsi="Cambria" w:cs="Cambria"/>
          <w:color w:val="auto"/>
          <w:sz w:val="56"/>
          <w:szCs w:val="56"/>
        </w:rPr>
        <w:t>бюлетин</w:t>
      </w:r>
      <w:r w:rsidR="001E54D3" w:rsidRPr="00DB79A1">
        <w:rPr>
          <w:rStyle w:val="FootnoteReference"/>
          <w:rFonts w:ascii="Cambria" w:hAnsi="Cambria" w:cs="Cambria"/>
          <w:color w:val="auto"/>
          <w:sz w:val="56"/>
          <w:szCs w:val="56"/>
        </w:rPr>
        <w:footnoteReference w:id="1"/>
      </w:r>
    </w:p>
    <w:p w:rsidR="002E475B" w:rsidRPr="00DB79A1" w:rsidRDefault="00A42F28" w:rsidP="002E475B">
      <w:pPr>
        <w:pStyle w:val="Default"/>
        <w:jc w:val="center"/>
        <w:rPr>
          <w:rFonts w:ascii="Cambria" w:hAnsi="Cambria" w:cs="Cambria"/>
          <w:color w:val="auto"/>
          <w:sz w:val="36"/>
          <w:szCs w:val="36"/>
        </w:rPr>
      </w:pPr>
      <w:r w:rsidRPr="00DB79A1">
        <w:rPr>
          <w:rFonts w:ascii="Cambria" w:hAnsi="Cambria" w:cs="Cambria"/>
          <w:color w:val="auto"/>
          <w:sz w:val="36"/>
          <w:szCs w:val="36"/>
        </w:rPr>
        <w:t>и</w:t>
      </w:r>
      <w:r w:rsidR="002E475B" w:rsidRPr="00DB79A1">
        <w:rPr>
          <w:rFonts w:ascii="Cambria" w:hAnsi="Cambria" w:cs="Cambria"/>
          <w:color w:val="auto"/>
          <w:sz w:val="36"/>
          <w:szCs w:val="36"/>
        </w:rPr>
        <w:t>здание за държавните помощи в Европейския съюз</w:t>
      </w:r>
      <w:r w:rsidR="00B11922" w:rsidRPr="00DB79A1">
        <w:rPr>
          <w:rFonts w:ascii="Cambria" w:hAnsi="Cambria" w:cs="Cambria"/>
          <w:color w:val="auto"/>
          <w:sz w:val="36"/>
          <w:szCs w:val="36"/>
        </w:rPr>
        <w:t xml:space="preserve"> и Република България</w:t>
      </w:r>
    </w:p>
    <w:p w:rsidR="00023FF2" w:rsidRPr="00DB79A1" w:rsidRDefault="00E16F09">
      <w:pPr>
        <w:rPr>
          <w:lang w:val="bg-BG"/>
        </w:rPr>
      </w:pPr>
      <w:r w:rsidRPr="00DB79A1">
        <w:rPr>
          <w:rFonts w:ascii="Cambria" w:hAnsi="Cambria" w:cs="Cambria"/>
          <w:noProof/>
          <w:sz w:val="56"/>
          <w:szCs w:val="56"/>
          <w:lang w:val="bg-BG"/>
        </w:rPr>
        <mc:AlternateContent>
          <mc:Choice Requires="wps">
            <w:drawing>
              <wp:anchor distT="0" distB="0" distL="114300" distR="114300" simplePos="0" relativeHeight="251662336" behindDoc="0" locked="0" layoutInCell="1" allowOverlap="1" wp14:anchorId="27264A9C" wp14:editId="030907D6">
                <wp:simplePos x="0" y="0"/>
                <wp:positionH relativeFrom="column">
                  <wp:posOffset>68580</wp:posOffset>
                </wp:positionH>
                <wp:positionV relativeFrom="paragraph">
                  <wp:posOffset>48895</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85pt" to="5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p/zQEAAOUDAAAOAAAAZHJzL2Uyb0RvYy54bWysU9uO0zAQfUfiHyy/0yS7YilR033oCl4Q&#10;VOzyAV5n3Fj4prFp0r9n7LRZBEhoV7w4vsw5M+fMZHM7WcOOgFF71/FmVXMGTvpeu0PHvz18eLPm&#10;LCbhemG8g46fIPLb7etXmzG0cOUHb3pARiQutmPo+JBSaKsqygGsiCsfwNGj8mhFoiMeqh7FSOzW&#10;VFd1fVONHvuAXkKMdHs3P/Jt4VcKZPqiVITETMeptlRWLOtjXqvtRrQHFGHQ8lyGeEEVVmhHSReq&#10;O5EE+4H6DyqrJfroVVpJbyuvlJZQNJCapv5Nzf0gAhQtZE4Mi03x/9HKz8c9Mt13/JozJyy16D6h&#10;0IchsZ13jgz0yK6zT2OILYXv3B7Ppxj2mEVPCm3+khw2FW9Pi7cwJSbp8ubdulnX1AJ5eauegAFj&#10;+gjesrzpuNEuyxatOH6KiZJR6CUkXxvHRhq29/XbzGcDVZ+of98fBupCDs+lzsWVXToZmHFfQZFY&#10;Kqcp/GXMYGeQHQUNiJASXGoKRc5C0RmmtDELsP438ByfoVBG8DngBVEye5cWsNXO49+yp+lSsprj&#10;Lw7MurMFj74/lbYVa2iWiqfnuc/D+uu5wJ/+zu1PAAAA//8DAFBLAwQUAAYACAAAACEAfPhZsdgA&#10;AAAHAQAADwAAAGRycy9kb3ducmV2LnhtbEyOvU7DMBSFdyTewbpIbNSmQ1NCnCpUKhsDDQOjG9/G&#10;KfF1FLtNeHtuWWA8PzrnKzaz78UFx9gF0vC4UCCQmmA7ajV81LuHNYiYDFnTB0IN3xhhU97eFCa3&#10;YaJ3vOxTK3iEYm40uJSGXMrYOPQmLsKAxNkxjN4klmMr7WgmHve9XCq1kt50xA/ODLh12Hztz15D&#10;ta2flq+1c/L0+fK2i2GS/arS+v5urp5BJJzTXxmu+IwOJTMdwplsFD1rxeRJQ5aBuMYqW7Nx+DVk&#10;Wcj//OUPAAAA//8DAFBLAQItABQABgAIAAAAIQC2gziS/gAAAOEBAAATAAAAAAAAAAAAAAAAAAAA&#10;AABbQ29udGVudF9UeXBlc10ueG1sUEsBAi0AFAAGAAgAAAAhADj9If/WAAAAlAEAAAsAAAAAAAAA&#10;AAAAAAAALwEAAF9yZWxzLy5yZWxzUEsBAi0AFAAGAAgAAAAhAHyBun/NAQAA5QMAAA4AAAAAAAAA&#10;AAAAAAAALgIAAGRycy9lMm9Eb2MueG1sUEsBAi0AFAAGAAgAAAAhAHz4WbHYAAAABwEAAA8AAAAA&#10;AAAAAAAAAAAAJwQAAGRycy9kb3ducmV2LnhtbFBLBQYAAAAABAAEAPMAAAAsBQAAAAA=&#10;" strokecolor="#4579b8 [3044]" strokeweight="1.5pt">
                <v:stroke linestyle="thickThin"/>
              </v:line>
            </w:pict>
          </mc:Fallback>
        </mc:AlternateContent>
      </w:r>
    </w:p>
    <w:p w:rsidR="009B78BB" w:rsidRPr="00DB79A1" w:rsidRDefault="009B78BB">
      <w:pPr>
        <w:rPr>
          <w:lang w:val="bg-BG"/>
        </w:rPr>
      </w:pPr>
    </w:p>
    <w:tbl>
      <w:tblPr>
        <w:tblStyle w:val="TableGrid"/>
        <w:tblW w:w="0" w:type="auto"/>
        <w:tblInd w:w="25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8363"/>
        <w:gridCol w:w="2268"/>
      </w:tblGrid>
      <w:tr w:rsidR="009B78BB" w:rsidRPr="007C4468" w:rsidTr="00DB79A1">
        <w:tc>
          <w:tcPr>
            <w:tcW w:w="8363" w:type="dxa"/>
          </w:tcPr>
          <w:p w:rsidR="009B78BB" w:rsidRPr="007C4468" w:rsidRDefault="009B78BB" w:rsidP="009B78BB">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Европейския съюз</w:t>
            </w:r>
          </w:p>
          <w:p w:rsidR="009B78BB" w:rsidRPr="007C4468" w:rsidRDefault="009B78BB"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7C4468" w:rsidRDefault="00144B74"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Публикувани нови или изменени съществуващи нормативни актове </w:t>
            </w:r>
            <w:r w:rsidR="009B78BB"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Европейския съюз за държавните помощи</w:t>
            </w:r>
          </w:p>
          <w:p w:rsidR="00B33E8C" w:rsidRPr="00432354" w:rsidRDefault="00B33E8C" w:rsidP="00B33E8C">
            <w:pPr>
              <w:pStyle w:val="ListParagraph"/>
              <w:numPr>
                <w:ilvl w:val="0"/>
                <w:numId w:val="18"/>
              </w:numPr>
              <w:spacing w:after="60"/>
              <w:ind w:left="34" w:firstLine="284"/>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2"/>
                <w:szCs w:val="22"/>
                <w:lang w:val="bg-BG"/>
              </w:rPr>
              <w:t>В Официален вестник на Европейския съюз бяха публикувани кодифицирани версии на Упълномощаващия регламент</w:t>
            </w:r>
            <w:r w:rsidRPr="007C4468">
              <w:rPr>
                <w:rStyle w:val="FootnoteReference"/>
                <w:rFonts w:asciiTheme="majorHAnsi" w:hAnsiTheme="majorHAnsi"/>
                <w:b/>
                <w:sz w:val="22"/>
                <w:szCs w:val="22"/>
                <w:lang w:val="bg-BG"/>
              </w:rPr>
              <w:footnoteReference w:id="2"/>
            </w:r>
            <w:r w:rsidRPr="007C4468">
              <w:rPr>
                <w:rFonts w:asciiTheme="majorHAnsi" w:hAnsiTheme="majorHAnsi"/>
                <w:b/>
                <w:sz w:val="22"/>
                <w:szCs w:val="22"/>
                <w:lang w:val="bg-BG"/>
              </w:rPr>
              <w:t xml:space="preserve"> и на Процедурния регламент</w:t>
            </w:r>
            <w:r w:rsidRPr="007C4468">
              <w:rPr>
                <w:rStyle w:val="FootnoteReference"/>
                <w:rFonts w:asciiTheme="majorHAnsi" w:hAnsiTheme="majorHAnsi"/>
                <w:b/>
                <w:sz w:val="22"/>
                <w:szCs w:val="22"/>
                <w:lang w:val="bg-BG"/>
              </w:rPr>
              <w:footnoteReference w:id="3"/>
            </w:r>
            <w:r w:rsidRPr="007C4468">
              <w:rPr>
                <w:rFonts w:asciiTheme="majorHAnsi" w:hAnsiTheme="majorHAnsi"/>
                <w:b/>
                <w:sz w:val="22"/>
                <w:szCs w:val="22"/>
                <w:lang w:val="bg-BG"/>
              </w:rPr>
              <w:t xml:space="preserve">. </w:t>
            </w:r>
          </w:p>
          <w:p w:rsidR="00432354" w:rsidRPr="007C4468" w:rsidRDefault="00432354" w:rsidP="00432354">
            <w:pPr>
              <w:pStyle w:val="ListParagraph"/>
              <w:spacing w:after="60"/>
              <w:ind w:left="318"/>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302420" w:rsidRPr="007C4468" w:rsidRDefault="00596465" w:rsidP="00B33E8C">
            <w:pPr>
              <w:pStyle w:val="ListParagraph"/>
              <w:numPr>
                <w:ilvl w:val="0"/>
                <w:numId w:val="18"/>
              </w:numPr>
              <w:spacing w:before="240"/>
              <w:ind w:left="34" w:firstLine="283"/>
              <w:jc w:val="both"/>
              <w:rPr>
                <w:rFonts w:asciiTheme="majorHAnsi" w:hAnsiTheme="majorHAnsi"/>
                <w:color w:val="FF0000"/>
                <w:sz w:val="22"/>
                <w:szCs w:val="22"/>
                <w:lang w:val="bg-BG"/>
              </w:rPr>
            </w:pPr>
            <w:r w:rsidRPr="007C4468">
              <w:rPr>
                <w:rFonts w:asciiTheme="majorHAnsi" w:hAnsiTheme="majorHAnsi"/>
                <w:b/>
                <w:sz w:val="22"/>
                <w:szCs w:val="22"/>
                <w:lang w:val="bg-BG"/>
              </w:rPr>
              <w:t xml:space="preserve">Европейската комисия публикува на сайта си </w:t>
            </w:r>
            <w:r w:rsidR="00442E20" w:rsidRPr="007C4468">
              <w:rPr>
                <w:rFonts w:asciiTheme="majorHAnsi" w:hAnsiTheme="majorHAnsi"/>
                <w:b/>
                <w:sz w:val="22"/>
                <w:szCs w:val="22"/>
                <w:lang w:val="bg-BG"/>
              </w:rPr>
              <w:t xml:space="preserve">осъвременени версии на документите </w:t>
            </w:r>
            <w:r w:rsidRPr="007C4468">
              <w:rPr>
                <w:rFonts w:asciiTheme="majorHAnsi" w:hAnsiTheme="majorHAnsi"/>
                <w:b/>
                <w:sz w:val="22"/>
                <w:szCs w:val="22"/>
                <w:lang w:val="bg-BG"/>
              </w:rPr>
              <w:t>„</w:t>
            </w:r>
            <w:r w:rsidR="00CB5171" w:rsidRPr="007C4468">
              <w:rPr>
                <w:rFonts w:asciiTheme="majorHAnsi" w:hAnsiTheme="majorHAnsi"/>
                <w:b/>
                <w:sz w:val="22"/>
                <w:szCs w:val="22"/>
                <w:lang w:val="bg-BG"/>
              </w:rPr>
              <w:t>Аналитични матрици</w:t>
            </w:r>
            <w:r w:rsidRPr="007C4468">
              <w:rPr>
                <w:rFonts w:asciiTheme="majorHAnsi" w:hAnsiTheme="majorHAnsi"/>
                <w:sz w:val="22"/>
                <w:szCs w:val="22"/>
                <w:lang w:val="bg-BG"/>
              </w:rPr>
              <w:t>“</w:t>
            </w:r>
            <w:r w:rsidRPr="007C4468">
              <w:rPr>
                <w:rStyle w:val="FootnoteReference"/>
                <w:rFonts w:asciiTheme="majorHAnsi" w:hAnsiTheme="majorHAnsi"/>
                <w:sz w:val="22"/>
                <w:szCs w:val="22"/>
                <w:lang w:val="bg-BG"/>
              </w:rPr>
              <w:footnoteReference w:id="4"/>
            </w:r>
            <w:r w:rsidR="00302420" w:rsidRPr="007C4468">
              <w:rPr>
                <w:rFonts w:asciiTheme="majorHAnsi" w:hAnsiTheme="majorHAnsi"/>
                <w:sz w:val="22"/>
                <w:szCs w:val="22"/>
                <w:lang w:val="bg-BG"/>
              </w:rPr>
              <w:t xml:space="preserve"> </w:t>
            </w:r>
          </w:p>
          <w:p w:rsidR="00596465" w:rsidRPr="007C4468" w:rsidRDefault="00596465" w:rsidP="00596465">
            <w:pPr>
              <w:jc w:val="both"/>
              <w:rPr>
                <w:rFonts w:asciiTheme="majorHAnsi" w:hAnsiTheme="majorHAnsi"/>
                <w:sz w:val="22"/>
                <w:szCs w:val="22"/>
                <w:highlight w:val="yellow"/>
                <w:lang w:val="bg-BG"/>
              </w:rPr>
            </w:pPr>
            <w:r w:rsidRPr="007C4468">
              <w:rPr>
                <w:rFonts w:asciiTheme="majorHAnsi" w:hAnsiTheme="majorHAnsi"/>
                <w:sz w:val="22"/>
                <w:szCs w:val="22"/>
                <w:lang w:val="bg-BG"/>
              </w:rPr>
              <w:t>Представени са 10 на брой аналитични матрици: 1 въвеждащ документ; 5 актуализирани</w:t>
            </w:r>
            <w:r w:rsidR="00442E20" w:rsidRPr="007C4468">
              <w:rPr>
                <w:rFonts w:asciiTheme="majorHAnsi" w:hAnsiTheme="majorHAnsi"/>
                <w:sz w:val="22"/>
                <w:szCs w:val="22"/>
                <w:lang w:val="bg-BG"/>
              </w:rPr>
              <w:t>,</w:t>
            </w:r>
            <w:r w:rsidRPr="007C4468">
              <w:rPr>
                <w:rFonts w:asciiTheme="majorHAnsi" w:hAnsiTheme="majorHAnsi"/>
                <w:sz w:val="22"/>
                <w:szCs w:val="22"/>
                <w:lang w:val="bg-BG"/>
              </w:rPr>
              <w:t xml:space="preserve"> </w:t>
            </w:r>
            <w:r w:rsidR="00442E20" w:rsidRPr="007C4468">
              <w:rPr>
                <w:rFonts w:asciiTheme="majorHAnsi" w:hAnsiTheme="majorHAnsi"/>
                <w:sz w:val="22"/>
                <w:szCs w:val="22"/>
                <w:lang w:val="bg-BG"/>
              </w:rPr>
              <w:t xml:space="preserve">спрямо версията от 2012 г., </w:t>
            </w:r>
            <w:r w:rsidRPr="007C4468">
              <w:rPr>
                <w:rFonts w:asciiTheme="majorHAnsi" w:hAnsiTheme="majorHAnsi"/>
                <w:sz w:val="22"/>
                <w:szCs w:val="22"/>
                <w:lang w:val="bg-BG"/>
              </w:rPr>
              <w:t>секторни матрици</w:t>
            </w:r>
            <w:r w:rsidRPr="007C4468">
              <w:rPr>
                <w:rStyle w:val="FootnoteReference"/>
                <w:lang w:val="bg-BG"/>
              </w:rPr>
              <w:footnoteReference w:id="5"/>
            </w:r>
            <w:r w:rsidRPr="007C4468">
              <w:rPr>
                <w:rFonts w:asciiTheme="majorHAnsi" w:hAnsiTheme="majorHAnsi"/>
                <w:sz w:val="22"/>
                <w:szCs w:val="22"/>
                <w:lang w:val="bg-BG"/>
              </w:rPr>
              <w:t>, които са адаптирани към модернизираното законодателство и 4 нови</w:t>
            </w:r>
            <w:r w:rsidRPr="007C4468">
              <w:rPr>
                <w:rStyle w:val="FootnoteReference"/>
                <w:rFonts w:asciiTheme="majorHAnsi" w:hAnsiTheme="majorHAnsi"/>
                <w:sz w:val="22"/>
                <w:szCs w:val="22"/>
                <w:lang w:val="bg-BG"/>
              </w:rPr>
              <w:footnoteReference w:id="6"/>
            </w:r>
            <w:r w:rsidRPr="007C4468">
              <w:rPr>
                <w:rFonts w:asciiTheme="majorHAnsi" w:hAnsiTheme="majorHAnsi"/>
                <w:sz w:val="22"/>
                <w:szCs w:val="22"/>
                <w:lang w:val="bg-BG"/>
              </w:rPr>
              <w:t>).</w:t>
            </w:r>
          </w:p>
          <w:p w:rsidR="00596465" w:rsidRPr="007C4468" w:rsidRDefault="00596465" w:rsidP="00596465">
            <w:pPr>
              <w:jc w:val="both"/>
              <w:rPr>
                <w:rFonts w:asciiTheme="majorHAnsi" w:hAnsiTheme="majorHAnsi"/>
                <w:sz w:val="22"/>
                <w:szCs w:val="22"/>
                <w:lang w:val="bg-BG"/>
              </w:rPr>
            </w:pPr>
            <w:r w:rsidRPr="007C4468">
              <w:rPr>
                <w:rFonts w:asciiTheme="majorHAnsi" w:hAnsiTheme="majorHAnsi"/>
                <w:sz w:val="22"/>
                <w:szCs w:val="22"/>
                <w:lang w:val="bg-BG"/>
              </w:rPr>
              <w:t xml:space="preserve">Тези документи са предназначени за </w:t>
            </w:r>
            <w:r w:rsidR="00CB5171" w:rsidRPr="007C4468">
              <w:rPr>
                <w:rFonts w:asciiTheme="majorHAnsi" w:hAnsiTheme="majorHAnsi"/>
                <w:sz w:val="22"/>
                <w:szCs w:val="22"/>
                <w:lang w:val="bg-BG"/>
              </w:rPr>
              <w:t>Управляващите органи (</w:t>
            </w:r>
            <w:r w:rsidRPr="007C4468">
              <w:rPr>
                <w:rFonts w:asciiTheme="majorHAnsi" w:hAnsiTheme="majorHAnsi"/>
                <w:sz w:val="22"/>
                <w:szCs w:val="22"/>
                <w:lang w:val="bg-BG"/>
              </w:rPr>
              <w:t>УО</w:t>
            </w:r>
            <w:r w:rsidR="00CB5171" w:rsidRPr="007C4468">
              <w:rPr>
                <w:rFonts w:asciiTheme="majorHAnsi" w:hAnsiTheme="majorHAnsi"/>
                <w:sz w:val="22"/>
                <w:szCs w:val="22"/>
                <w:lang w:val="bg-BG"/>
              </w:rPr>
              <w:t>)</w:t>
            </w:r>
            <w:r w:rsidRPr="007C4468">
              <w:rPr>
                <w:rFonts w:asciiTheme="majorHAnsi" w:hAnsiTheme="majorHAnsi"/>
                <w:sz w:val="22"/>
                <w:szCs w:val="22"/>
                <w:lang w:val="bg-BG"/>
              </w:rPr>
              <w:t xml:space="preserve"> на </w:t>
            </w:r>
            <w:r w:rsidR="00CB5171" w:rsidRPr="007C4468">
              <w:rPr>
                <w:rFonts w:asciiTheme="majorHAnsi" w:hAnsiTheme="majorHAnsi"/>
                <w:sz w:val="22"/>
                <w:szCs w:val="22"/>
                <w:lang w:val="bg-BG"/>
              </w:rPr>
              <w:t>Оперативните програми (</w:t>
            </w:r>
            <w:r w:rsidRPr="007C4468">
              <w:rPr>
                <w:rFonts w:asciiTheme="majorHAnsi" w:hAnsiTheme="majorHAnsi"/>
                <w:sz w:val="22"/>
                <w:szCs w:val="22"/>
                <w:lang w:val="bg-BG"/>
              </w:rPr>
              <w:t>ОП</w:t>
            </w:r>
            <w:r w:rsidR="00CB5171" w:rsidRPr="007C4468">
              <w:rPr>
                <w:rFonts w:asciiTheme="majorHAnsi" w:hAnsiTheme="majorHAnsi"/>
                <w:sz w:val="22"/>
                <w:szCs w:val="22"/>
                <w:lang w:val="bg-BG"/>
              </w:rPr>
              <w:t>)</w:t>
            </w:r>
            <w:r w:rsidRPr="007C4468">
              <w:rPr>
                <w:rFonts w:asciiTheme="majorHAnsi" w:hAnsiTheme="majorHAnsi"/>
                <w:sz w:val="22"/>
                <w:szCs w:val="22"/>
                <w:lang w:val="bg-BG"/>
              </w:rPr>
              <w:t>, но са валидни за всички видове инфраструктурни проекти</w:t>
            </w:r>
            <w:r w:rsidR="0050793E" w:rsidRPr="007C4468">
              <w:rPr>
                <w:rFonts w:asciiTheme="majorHAnsi" w:hAnsiTheme="majorHAnsi"/>
                <w:sz w:val="22"/>
                <w:szCs w:val="22"/>
                <w:lang w:val="bg-BG"/>
              </w:rPr>
              <w:t xml:space="preserve">, </w:t>
            </w:r>
            <w:r w:rsidRPr="007C4468">
              <w:rPr>
                <w:rFonts w:asciiTheme="majorHAnsi" w:hAnsiTheme="majorHAnsi"/>
                <w:sz w:val="22"/>
                <w:szCs w:val="22"/>
                <w:lang w:val="bg-BG"/>
              </w:rPr>
              <w:t xml:space="preserve">независимо от източника им на финансиране – от УО или изцяло от национално финансиране. </w:t>
            </w:r>
          </w:p>
          <w:p w:rsidR="00596465" w:rsidRPr="007C4468" w:rsidRDefault="005E21C9" w:rsidP="00596465">
            <w:pPr>
              <w:jc w:val="both"/>
              <w:rPr>
                <w:rFonts w:asciiTheme="majorHAnsi" w:hAnsiTheme="majorHAnsi"/>
                <w:sz w:val="22"/>
                <w:szCs w:val="22"/>
                <w:lang w:val="bg-BG"/>
              </w:rPr>
            </w:pPr>
            <w:r w:rsidRPr="007C4468">
              <w:rPr>
                <w:rFonts w:asciiTheme="majorHAnsi" w:hAnsiTheme="majorHAnsi"/>
                <w:sz w:val="22"/>
                <w:szCs w:val="22"/>
                <w:lang w:val="bg-BG"/>
              </w:rPr>
              <w:t>„Аналитичните матрици“ и</w:t>
            </w:r>
            <w:r w:rsidR="00596465" w:rsidRPr="007C4468">
              <w:rPr>
                <w:rFonts w:asciiTheme="majorHAnsi" w:hAnsiTheme="majorHAnsi"/>
                <w:sz w:val="22"/>
                <w:szCs w:val="22"/>
                <w:lang w:val="bg-BG"/>
              </w:rPr>
              <w:t>мат за цел да подпомага УО на ОП, за да прецен</w:t>
            </w:r>
            <w:r w:rsidR="00CB5171" w:rsidRPr="007C4468">
              <w:rPr>
                <w:rFonts w:asciiTheme="majorHAnsi" w:hAnsiTheme="majorHAnsi"/>
                <w:sz w:val="22"/>
                <w:szCs w:val="22"/>
                <w:lang w:val="bg-BG"/>
              </w:rPr>
              <w:t>ят</w:t>
            </w:r>
            <w:r w:rsidR="00596465" w:rsidRPr="007C4468">
              <w:rPr>
                <w:rFonts w:asciiTheme="majorHAnsi" w:hAnsiTheme="majorHAnsi"/>
                <w:sz w:val="22"/>
                <w:szCs w:val="22"/>
                <w:lang w:val="bg-BG"/>
              </w:rPr>
              <w:t xml:space="preserve"> дали инфраструктурен проект ще бъде или не </w:t>
            </w:r>
            <w:r w:rsidR="00CB5171" w:rsidRPr="007C4468">
              <w:rPr>
                <w:rFonts w:asciiTheme="majorHAnsi" w:hAnsiTheme="majorHAnsi"/>
                <w:sz w:val="22"/>
                <w:szCs w:val="22"/>
                <w:lang w:val="bg-BG"/>
              </w:rPr>
              <w:t>държавна помощ (</w:t>
            </w:r>
            <w:r w:rsidR="00596465" w:rsidRPr="007C4468">
              <w:rPr>
                <w:rFonts w:asciiTheme="majorHAnsi" w:hAnsiTheme="majorHAnsi"/>
                <w:sz w:val="22"/>
                <w:szCs w:val="22"/>
                <w:lang w:val="bg-BG"/>
              </w:rPr>
              <w:t>ДП</w:t>
            </w:r>
            <w:r w:rsidR="00CB5171" w:rsidRPr="007C4468">
              <w:rPr>
                <w:rFonts w:asciiTheme="majorHAnsi" w:hAnsiTheme="majorHAnsi"/>
                <w:sz w:val="22"/>
                <w:szCs w:val="22"/>
                <w:lang w:val="bg-BG"/>
              </w:rPr>
              <w:t>)</w:t>
            </w:r>
            <w:r w:rsidR="00596465" w:rsidRPr="007C4468">
              <w:rPr>
                <w:rFonts w:asciiTheme="majorHAnsi" w:hAnsiTheme="majorHAnsi"/>
                <w:sz w:val="22"/>
                <w:szCs w:val="22"/>
                <w:lang w:val="bg-BG"/>
              </w:rPr>
              <w:t>, както и приложимото зако</w:t>
            </w:r>
            <w:r w:rsidRPr="007C4468">
              <w:rPr>
                <w:rFonts w:asciiTheme="majorHAnsi" w:hAnsiTheme="majorHAnsi"/>
                <w:sz w:val="22"/>
                <w:szCs w:val="22"/>
                <w:lang w:val="bg-BG"/>
              </w:rPr>
              <w:t>нодателство, в случай, че е ДП.</w:t>
            </w:r>
          </w:p>
          <w:p w:rsidR="00596465" w:rsidRPr="007C4468" w:rsidRDefault="00596465" w:rsidP="00596465">
            <w:pPr>
              <w:jc w:val="both"/>
              <w:rPr>
                <w:rFonts w:asciiTheme="majorHAnsi" w:hAnsiTheme="majorHAnsi"/>
                <w:sz w:val="22"/>
                <w:szCs w:val="22"/>
                <w:lang w:val="bg-BG"/>
              </w:rPr>
            </w:pPr>
            <w:r w:rsidRPr="007C4468">
              <w:rPr>
                <w:rFonts w:asciiTheme="majorHAnsi" w:hAnsiTheme="majorHAnsi"/>
                <w:sz w:val="22"/>
                <w:szCs w:val="22"/>
                <w:lang w:val="bg-BG"/>
              </w:rPr>
              <w:t xml:space="preserve">По същество, аналитичните матрици запазват структурата на съществуващите – </w:t>
            </w:r>
          </w:p>
          <w:p w:rsidR="00596465" w:rsidRPr="007C4468" w:rsidRDefault="00596465" w:rsidP="00596465">
            <w:pPr>
              <w:jc w:val="both"/>
              <w:rPr>
                <w:rFonts w:asciiTheme="majorHAnsi" w:hAnsiTheme="majorHAnsi"/>
                <w:sz w:val="22"/>
                <w:szCs w:val="22"/>
                <w:lang w:val="bg-BG"/>
              </w:rPr>
            </w:pPr>
            <w:r w:rsidRPr="007C4468">
              <w:rPr>
                <w:rFonts w:asciiTheme="majorHAnsi" w:hAnsiTheme="majorHAnsi"/>
                <w:sz w:val="22"/>
                <w:szCs w:val="22"/>
                <w:lang w:val="bg-BG"/>
              </w:rPr>
              <w:t>1)  обща част</w:t>
            </w:r>
          </w:p>
          <w:p w:rsidR="00596465" w:rsidRPr="007C4468" w:rsidRDefault="00596465" w:rsidP="00596465">
            <w:pPr>
              <w:jc w:val="both"/>
              <w:rPr>
                <w:rFonts w:asciiTheme="majorHAnsi" w:hAnsiTheme="majorHAnsi"/>
                <w:sz w:val="22"/>
                <w:szCs w:val="22"/>
                <w:lang w:val="bg-BG"/>
              </w:rPr>
            </w:pPr>
            <w:r w:rsidRPr="007C4468">
              <w:rPr>
                <w:rFonts w:asciiTheme="majorHAnsi" w:hAnsiTheme="majorHAnsi"/>
                <w:sz w:val="22"/>
                <w:szCs w:val="22"/>
                <w:lang w:val="bg-BG"/>
              </w:rPr>
              <w:t>2) условия, при които се изключва приложимостта на режима по ДП</w:t>
            </w:r>
          </w:p>
          <w:p w:rsidR="00596465" w:rsidRPr="007C4468" w:rsidRDefault="00596465" w:rsidP="00596465">
            <w:pPr>
              <w:jc w:val="both"/>
              <w:rPr>
                <w:rFonts w:asciiTheme="majorHAnsi" w:hAnsiTheme="majorHAnsi"/>
                <w:sz w:val="22"/>
                <w:szCs w:val="22"/>
                <w:lang w:val="bg-BG"/>
              </w:rPr>
            </w:pPr>
            <w:r w:rsidRPr="007C4468">
              <w:rPr>
                <w:rFonts w:asciiTheme="majorHAnsi" w:hAnsiTheme="majorHAnsi"/>
                <w:sz w:val="22"/>
                <w:szCs w:val="22"/>
                <w:lang w:val="bg-BG"/>
              </w:rPr>
              <w:t>3) приложимост на режима по ДП и възможните подходи – групово освобождаване или нотификация, като се изброяват нормативни актове за всеки случай</w:t>
            </w:r>
            <w:r w:rsidR="00CB5171" w:rsidRPr="007C4468">
              <w:rPr>
                <w:rFonts w:asciiTheme="majorHAnsi" w:hAnsiTheme="majorHAnsi"/>
                <w:sz w:val="22"/>
                <w:szCs w:val="22"/>
                <w:lang w:val="bg-BG"/>
              </w:rPr>
              <w:t>.</w:t>
            </w:r>
          </w:p>
          <w:p w:rsidR="00596465" w:rsidRPr="007C4468" w:rsidRDefault="00596465" w:rsidP="00596465">
            <w:pPr>
              <w:jc w:val="both"/>
              <w:rPr>
                <w:rFonts w:asciiTheme="majorHAnsi" w:hAnsiTheme="majorHAnsi"/>
                <w:sz w:val="22"/>
                <w:szCs w:val="22"/>
                <w:lang w:val="bg-BG"/>
              </w:rPr>
            </w:pPr>
            <w:r w:rsidRPr="007C4468">
              <w:rPr>
                <w:rFonts w:asciiTheme="majorHAnsi" w:hAnsiTheme="majorHAnsi"/>
                <w:sz w:val="22"/>
                <w:szCs w:val="22"/>
                <w:lang w:val="bg-BG"/>
              </w:rPr>
              <w:t xml:space="preserve">Новост </w:t>
            </w:r>
            <w:r w:rsidR="005E21C9" w:rsidRPr="007C4468">
              <w:rPr>
                <w:rFonts w:asciiTheme="majorHAnsi" w:hAnsiTheme="majorHAnsi"/>
                <w:sz w:val="22"/>
                <w:szCs w:val="22"/>
                <w:lang w:val="bg-BG"/>
              </w:rPr>
              <w:t>с</w:t>
            </w:r>
            <w:r w:rsidRPr="007C4468">
              <w:rPr>
                <w:rFonts w:asciiTheme="majorHAnsi" w:hAnsiTheme="majorHAnsi"/>
                <w:sz w:val="22"/>
                <w:szCs w:val="22"/>
                <w:lang w:val="bg-BG"/>
              </w:rPr>
              <w:t xml:space="preserve">а </w:t>
            </w:r>
            <w:r w:rsidR="005E21C9" w:rsidRPr="007C4468">
              <w:rPr>
                <w:rFonts w:asciiTheme="majorHAnsi" w:hAnsiTheme="majorHAnsi"/>
                <w:sz w:val="22"/>
                <w:szCs w:val="22"/>
                <w:lang w:val="bg-BG"/>
              </w:rPr>
              <w:t>две</w:t>
            </w:r>
            <w:r w:rsidRPr="007C4468">
              <w:rPr>
                <w:rFonts w:asciiTheme="majorHAnsi" w:hAnsiTheme="majorHAnsi"/>
                <w:sz w:val="22"/>
                <w:szCs w:val="22"/>
                <w:lang w:val="bg-BG"/>
              </w:rPr>
              <w:t xml:space="preserve"> </w:t>
            </w:r>
            <w:r w:rsidR="005E21C9" w:rsidRPr="007C4468">
              <w:rPr>
                <w:rFonts w:asciiTheme="majorHAnsi" w:hAnsiTheme="majorHAnsi"/>
                <w:sz w:val="22"/>
                <w:szCs w:val="22"/>
                <w:lang w:val="bg-BG"/>
              </w:rPr>
              <w:t xml:space="preserve">нови </w:t>
            </w:r>
            <w:r w:rsidRPr="007C4468">
              <w:rPr>
                <w:rFonts w:asciiTheme="majorHAnsi" w:hAnsiTheme="majorHAnsi"/>
                <w:sz w:val="22"/>
                <w:szCs w:val="22"/>
                <w:lang w:val="bg-BG"/>
              </w:rPr>
              <w:t>глави, които фигурират в някои от аналитични матрици:</w:t>
            </w:r>
          </w:p>
          <w:p w:rsidR="00CB5171" w:rsidRPr="007C4468" w:rsidRDefault="00596465" w:rsidP="00596465">
            <w:pPr>
              <w:jc w:val="both"/>
              <w:rPr>
                <w:rFonts w:asciiTheme="majorHAnsi" w:hAnsiTheme="majorHAnsi"/>
                <w:sz w:val="22"/>
                <w:szCs w:val="22"/>
                <w:lang w:val="bg-BG"/>
              </w:rPr>
            </w:pPr>
            <w:r w:rsidRPr="007C4468">
              <w:rPr>
                <w:rFonts w:asciiTheme="majorHAnsi" w:hAnsiTheme="majorHAnsi"/>
                <w:sz w:val="22"/>
                <w:szCs w:val="22"/>
                <w:lang w:val="bg-BG"/>
              </w:rPr>
              <w:t xml:space="preserve">4) посочване на критерии, липсата на изпълнението на които ще води до отрицателно решение на ЕК </w:t>
            </w:r>
          </w:p>
          <w:p w:rsidR="00596465" w:rsidRPr="007C4468" w:rsidRDefault="00596465" w:rsidP="00596465">
            <w:pPr>
              <w:jc w:val="both"/>
              <w:rPr>
                <w:rFonts w:asciiTheme="majorHAnsi" w:hAnsiTheme="majorHAnsi"/>
                <w:sz w:val="22"/>
                <w:szCs w:val="22"/>
                <w:lang w:val="bg-BG"/>
              </w:rPr>
            </w:pPr>
            <w:r w:rsidRPr="007C4468">
              <w:rPr>
                <w:rFonts w:asciiTheme="majorHAnsi" w:hAnsiTheme="majorHAnsi"/>
                <w:sz w:val="22"/>
                <w:szCs w:val="22"/>
                <w:lang w:val="bg-BG"/>
              </w:rPr>
              <w:t>5) списък с решения на ЕК по сектори</w:t>
            </w:r>
          </w:p>
          <w:p w:rsidR="00EC0A34" w:rsidRPr="007C4468"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Действащите към момента нормативни актове могат да бъдат намерени на следните сайтове</w:t>
            </w:r>
            <w:r w:rsidR="00995618" w:rsidRPr="007C446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7C446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226CF9" w:rsidRPr="007C4468" w:rsidRDefault="00EC0A34" w:rsidP="00EC0A34">
            <w:pPr>
              <w:jc w:val="both"/>
              <w:rPr>
                <w:lang w:val="bg-BG"/>
              </w:rPr>
            </w:pPr>
            <w:r w:rsidRPr="007C446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ГД “ Конкуренция“</w:t>
            </w:r>
            <w:r w:rsidR="001A1ABA" w:rsidRPr="007C446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A1ABA" w:rsidRPr="007C446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7"/>
            </w:r>
            <w:r w:rsidRPr="007C446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226CF9" w:rsidRPr="007C4468">
              <w:rPr>
                <w:lang w:val="bg-BG"/>
              </w:rPr>
              <w:t xml:space="preserve"> </w:t>
            </w:r>
          </w:p>
          <w:p w:rsidR="00EC0A34" w:rsidRPr="007C4468"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Официален сайт на Дирекция „Държавни помощи и реален сектор“, Министерство на финансите</w:t>
            </w:r>
            <w:r w:rsidR="00995618" w:rsidRPr="007C446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8"/>
            </w:r>
            <w:r w:rsidR="00995618" w:rsidRPr="007C446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7C446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5E21C9" w:rsidRPr="007C4468" w:rsidRDefault="005E21C9" w:rsidP="005E21C9">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7C4468" w:rsidRDefault="009B78BB"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на Европейския съюз за държавните помощи</w:t>
            </w:r>
          </w:p>
          <w:p w:rsidR="00E34E8E" w:rsidRPr="007C4468" w:rsidRDefault="00E34E8E" w:rsidP="00E34E8E">
            <w:pPr>
              <w:jc w:val="both"/>
              <w:rPr>
                <w:rFonts w:asciiTheme="majorHAnsi" w:hAnsiTheme="majorHAnsi"/>
                <w:sz w:val="22"/>
                <w:szCs w:val="22"/>
                <w:lang w:val="bg-BG"/>
              </w:rPr>
            </w:pPr>
            <w:r w:rsidRPr="007C4468">
              <w:rPr>
                <w:rFonts w:asciiTheme="majorHAnsi" w:hAnsiTheme="majorHAnsi"/>
                <w:sz w:val="22"/>
                <w:szCs w:val="22"/>
                <w:lang w:val="bg-BG"/>
              </w:rPr>
              <w:t>Няма нови публикувани консултации по проекти на актове на Европейския съюз за държавните помощи.</w:t>
            </w:r>
          </w:p>
          <w:p w:rsidR="009B78BB" w:rsidRDefault="009B78BB" w:rsidP="009B78BB">
            <w:pPr>
              <w:jc w:val="both"/>
              <w:rPr>
                <w:rFonts w:asciiTheme="majorHAnsi" w:hAnsiTheme="majorHAnsi"/>
                <w:sz w:val="22"/>
                <w:szCs w:val="22"/>
                <w:lang w:val="bg-BG"/>
              </w:rPr>
            </w:pPr>
          </w:p>
          <w:p w:rsidR="00CD125E" w:rsidRPr="007C4468" w:rsidRDefault="00CD125E" w:rsidP="009B78BB">
            <w:pPr>
              <w:jc w:val="both"/>
              <w:rPr>
                <w:rFonts w:asciiTheme="majorHAnsi" w:hAnsiTheme="majorHAnsi"/>
                <w:sz w:val="22"/>
                <w:szCs w:val="22"/>
                <w:lang w:val="bg-BG"/>
              </w:rPr>
            </w:pPr>
          </w:p>
          <w:p w:rsidR="009B78BB" w:rsidRPr="007C4468" w:rsidRDefault="003F532F"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8648D0"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9B78BB"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ешения на Европейската комисия за </w:t>
            </w:r>
            <w:r w:rsidR="008648D0"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съвместима </w:t>
            </w:r>
            <w:r w:rsidR="009B78BB"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държавна помощ </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9B78BB" w:rsidRPr="007C4468" w:rsidTr="00471662">
              <w:trPr>
                <w:trHeight w:val="642"/>
              </w:trPr>
              <w:tc>
                <w:tcPr>
                  <w:tcW w:w="1446" w:type="dxa"/>
                  <w:shd w:val="clear" w:color="auto" w:fill="DBE5F1" w:themeFill="accent1" w:themeFillTint="33"/>
                  <w:vAlign w:val="center"/>
                </w:tcPr>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Държава</w:t>
                  </w:r>
                </w:p>
              </w:tc>
              <w:tc>
                <w:tcPr>
                  <w:tcW w:w="1276" w:type="dxa"/>
                  <w:shd w:val="clear" w:color="auto" w:fill="DBE5F1" w:themeFill="accent1" w:themeFillTint="33"/>
                  <w:vAlign w:val="center"/>
                </w:tcPr>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 на дело</w:t>
                  </w:r>
                </w:p>
              </w:tc>
              <w:tc>
                <w:tcPr>
                  <w:tcW w:w="2702" w:type="dxa"/>
                  <w:shd w:val="clear" w:color="auto" w:fill="DBE5F1" w:themeFill="accent1" w:themeFillTint="33"/>
                </w:tcPr>
                <w:p w:rsidR="009B78BB" w:rsidRPr="007C4468" w:rsidRDefault="009B78BB" w:rsidP="00EE53EA">
                  <w:pPr>
                    <w:jc w:val="center"/>
                    <w:rPr>
                      <w:rFonts w:asciiTheme="majorHAnsi" w:hAnsiTheme="majorHAnsi"/>
                      <w:b/>
                      <w:sz w:val="18"/>
                      <w:szCs w:val="18"/>
                      <w:lang w:val="bg-BG"/>
                    </w:rPr>
                  </w:pPr>
                </w:p>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Заглавие</w:t>
                  </w:r>
                </w:p>
              </w:tc>
              <w:tc>
                <w:tcPr>
                  <w:tcW w:w="1621" w:type="dxa"/>
                  <w:shd w:val="clear" w:color="auto" w:fill="DBE5F1" w:themeFill="accent1" w:themeFillTint="33"/>
                  <w:vAlign w:val="center"/>
                </w:tcPr>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Цел</w:t>
                  </w:r>
                </w:p>
              </w:tc>
              <w:tc>
                <w:tcPr>
                  <w:tcW w:w="1267" w:type="dxa"/>
                  <w:shd w:val="clear" w:color="auto" w:fill="DBE5F1" w:themeFill="accent1" w:themeFillTint="33"/>
                  <w:vAlign w:val="center"/>
                </w:tcPr>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Дата на решението</w:t>
                  </w:r>
                </w:p>
              </w:tc>
            </w:tr>
            <w:tr w:rsidR="009B78BB" w:rsidRPr="007C4468" w:rsidTr="00471662">
              <w:trPr>
                <w:trHeight w:val="624"/>
              </w:trPr>
              <w:tc>
                <w:tcPr>
                  <w:tcW w:w="1446" w:type="dxa"/>
                </w:tcPr>
                <w:p w:rsidR="00E2630C" w:rsidRPr="007C4468" w:rsidRDefault="00275D09" w:rsidP="00E2630C">
                  <w:pPr>
                    <w:jc w:val="center"/>
                    <w:rPr>
                      <w:rFonts w:asciiTheme="majorHAnsi" w:hAnsiTheme="majorHAnsi"/>
                      <w:b/>
                      <w:lang w:val="bg-BG"/>
                    </w:rPr>
                  </w:pPr>
                  <w:r w:rsidRPr="007C4468">
                    <w:rPr>
                      <w:rFonts w:asciiTheme="majorHAnsi" w:hAnsiTheme="majorHAnsi"/>
                      <w:b/>
                      <w:lang w:val="bg-BG"/>
                    </w:rPr>
                    <w:t>Aвстрия</w:t>
                  </w:r>
                </w:p>
                <w:p w:rsidR="009B78BB" w:rsidRPr="007C4468" w:rsidRDefault="009B78BB" w:rsidP="00EE53EA">
                  <w:pPr>
                    <w:jc w:val="center"/>
                    <w:rPr>
                      <w:rFonts w:asciiTheme="majorHAnsi" w:hAnsiTheme="majorHAnsi"/>
                      <w:b/>
                      <w:lang w:val="bg-BG"/>
                    </w:rPr>
                  </w:pPr>
                </w:p>
              </w:tc>
              <w:tc>
                <w:tcPr>
                  <w:tcW w:w="1276" w:type="dxa"/>
                </w:tcPr>
                <w:p w:rsidR="009B78BB" w:rsidRPr="007C4468" w:rsidRDefault="00E2630C" w:rsidP="00E2630C">
                  <w:pPr>
                    <w:pStyle w:val="Default"/>
                    <w:jc w:val="center"/>
                    <w:rPr>
                      <w:rFonts w:asciiTheme="majorHAnsi" w:hAnsiTheme="majorHAnsi"/>
                      <w:b/>
                      <w:sz w:val="18"/>
                      <w:szCs w:val="18"/>
                    </w:rPr>
                  </w:pPr>
                  <w:r w:rsidRPr="007C4468">
                    <w:rPr>
                      <w:rFonts w:asciiTheme="majorHAnsi" w:eastAsia="Times New Roman" w:hAnsiTheme="majorHAnsi" w:cs="Times New Roman"/>
                      <w:b/>
                      <w:color w:val="auto"/>
                      <w:sz w:val="18"/>
                      <w:szCs w:val="18"/>
                      <w:lang w:eastAsia="bg-BG"/>
                    </w:rPr>
                    <w:t>SA.41373</w:t>
                  </w:r>
                  <w:r w:rsidR="00EE53EA" w:rsidRPr="007C4468">
                    <w:rPr>
                      <w:rStyle w:val="FootnoteReference"/>
                      <w:rFonts w:asciiTheme="majorHAnsi" w:hAnsiTheme="majorHAnsi"/>
                      <w:b/>
                      <w:sz w:val="18"/>
                      <w:szCs w:val="18"/>
                    </w:rPr>
                    <w:footnoteReference w:id="9"/>
                  </w:r>
                </w:p>
              </w:tc>
              <w:tc>
                <w:tcPr>
                  <w:tcW w:w="2702" w:type="dxa"/>
                </w:tcPr>
                <w:p w:rsidR="0096655D" w:rsidRPr="007C4468" w:rsidRDefault="00C9561F" w:rsidP="005E21C9">
                  <w:pPr>
                    <w:jc w:val="center"/>
                    <w:rPr>
                      <w:color w:val="000000" w:themeColor="text1"/>
                      <w:sz w:val="18"/>
                      <w:szCs w:val="18"/>
                      <w:highlight w:val="yellow"/>
                      <w:lang w:val="bg-BG"/>
                    </w:rPr>
                  </w:pPr>
                  <w:r w:rsidRPr="007C4468">
                    <w:rPr>
                      <w:color w:val="000000" w:themeColor="text1"/>
                      <w:sz w:val="18"/>
                      <w:szCs w:val="18"/>
                      <w:lang w:val="bg-BG"/>
                    </w:rPr>
                    <w:t xml:space="preserve">Гаранционна схема за малки и средни предприятия в </w:t>
                  </w:r>
                  <w:r w:rsidRPr="007C4468">
                    <w:rPr>
                      <w:rFonts w:asciiTheme="majorHAnsi" w:hAnsiTheme="majorHAnsi"/>
                      <w:sz w:val="18"/>
                      <w:szCs w:val="18"/>
                      <w:lang w:val="bg-BG"/>
                    </w:rPr>
                    <w:t>затруднение</w:t>
                  </w:r>
                  <w:r w:rsidRPr="007C4468">
                    <w:rPr>
                      <w:color w:val="000000" w:themeColor="text1"/>
                      <w:sz w:val="18"/>
                      <w:szCs w:val="18"/>
                      <w:lang w:val="bg-BG"/>
                    </w:rPr>
                    <w:t xml:space="preserve"> в сферата на туризма и </w:t>
                  </w:r>
                  <w:r w:rsidR="00A12537" w:rsidRPr="007C4468">
                    <w:rPr>
                      <w:color w:val="000000" w:themeColor="text1"/>
                      <w:sz w:val="18"/>
                      <w:szCs w:val="18"/>
                      <w:lang w:val="bg-BG"/>
                    </w:rPr>
                    <w:t>свободното време</w:t>
                  </w:r>
                </w:p>
              </w:tc>
              <w:tc>
                <w:tcPr>
                  <w:tcW w:w="1621" w:type="dxa"/>
                </w:tcPr>
                <w:p w:rsidR="0096655D" w:rsidRPr="007C4468" w:rsidRDefault="00C9561F" w:rsidP="00A1030D">
                  <w:pPr>
                    <w:jc w:val="center"/>
                    <w:rPr>
                      <w:rFonts w:asciiTheme="majorHAnsi" w:hAnsiTheme="majorHAnsi"/>
                      <w:sz w:val="18"/>
                      <w:szCs w:val="18"/>
                      <w:highlight w:val="yellow"/>
                      <w:lang w:val="bg-BG"/>
                    </w:rPr>
                  </w:pPr>
                  <w:r w:rsidRPr="007C4468">
                    <w:rPr>
                      <w:rFonts w:asciiTheme="majorHAnsi" w:hAnsiTheme="majorHAnsi"/>
                      <w:sz w:val="18"/>
                      <w:szCs w:val="18"/>
                      <w:lang w:val="bg-BG"/>
                    </w:rPr>
                    <w:t>Помощ на предприятия в затруднение</w:t>
                  </w:r>
                </w:p>
              </w:tc>
              <w:tc>
                <w:tcPr>
                  <w:tcW w:w="1267" w:type="dxa"/>
                </w:tcPr>
                <w:p w:rsidR="009B78BB" w:rsidRPr="007C4468" w:rsidRDefault="00C9561F" w:rsidP="00A85FC0">
                  <w:pPr>
                    <w:jc w:val="center"/>
                    <w:rPr>
                      <w:rFonts w:asciiTheme="majorHAnsi" w:hAnsiTheme="majorHAnsi"/>
                      <w:sz w:val="18"/>
                      <w:szCs w:val="18"/>
                      <w:highlight w:val="yellow"/>
                      <w:lang w:val="bg-BG"/>
                    </w:rPr>
                  </w:pPr>
                  <w:r w:rsidRPr="007C4468">
                    <w:rPr>
                      <w:rFonts w:asciiTheme="majorHAnsi" w:hAnsiTheme="majorHAnsi"/>
                      <w:sz w:val="18"/>
                      <w:szCs w:val="18"/>
                      <w:lang w:val="bg-BG"/>
                    </w:rPr>
                    <w:t>24</w:t>
                  </w:r>
                  <w:r w:rsidR="00A85FC0" w:rsidRPr="007C4468">
                    <w:rPr>
                      <w:rFonts w:asciiTheme="majorHAnsi" w:hAnsiTheme="majorHAnsi"/>
                      <w:sz w:val="18"/>
                      <w:szCs w:val="18"/>
                      <w:lang w:val="bg-BG"/>
                    </w:rPr>
                    <w:t>.</w:t>
                  </w:r>
                  <w:r w:rsidRPr="007C4468">
                    <w:rPr>
                      <w:rFonts w:asciiTheme="majorHAnsi" w:hAnsiTheme="majorHAnsi"/>
                      <w:sz w:val="18"/>
                      <w:szCs w:val="18"/>
                      <w:lang w:val="bg-BG"/>
                    </w:rPr>
                    <w:t>07</w:t>
                  </w:r>
                  <w:r w:rsidR="00A85FC0" w:rsidRPr="007C4468">
                    <w:rPr>
                      <w:rFonts w:asciiTheme="majorHAnsi" w:hAnsiTheme="majorHAnsi"/>
                      <w:sz w:val="18"/>
                      <w:szCs w:val="18"/>
                      <w:lang w:val="bg-BG"/>
                    </w:rPr>
                    <w:t>.</w:t>
                  </w:r>
                  <w:r w:rsidRPr="007C4468">
                    <w:rPr>
                      <w:rFonts w:asciiTheme="majorHAnsi" w:hAnsiTheme="majorHAnsi"/>
                      <w:sz w:val="18"/>
                      <w:szCs w:val="18"/>
                      <w:lang w:val="bg-BG"/>
                    </w:rPr>
                    <w:t>2015</w:t>
                  </w:r>
                </w:p>
              </w:tc>
            </w:tr>
            <w:tr w:rsidR="00667170" w:rsidRPr="007C4468" w:rsidTr="00471662">
              <w:trPr>
                <w:trHeight w:val="641"/>
              </w:trPr>
              <w:tc>
                <w:tcPr>
                  <w:tcW w:w="1446" w:type="dxa"/>
                </w:tcPr>
                <w:p w:rsidR="00667170" w:rsidRPr="007C4468" w:rsidRDefault="00667170" w:rsidP="00E5067D">
                  <w:pPr>
                    <w:jc w:val="center"/>
                    <w:rPr>
                      <w:rFonts w:asciiTheme="majorHAnsi" w:hAnsiTheme="majorHAnsi"/>
                      <w:b/>
                      <w:lang w:val="bg-BG"/>
                    </w:rPr>
                  </w:pPr>
                  <w:r w:rsidRPr="007C4468">
                    <w:rPr>
                      <w:rFonts w:asciiTheme="majorHAnsi" w:hAnsiTheme="majorHAnsi"/>
                      <w:b/>
                      <w:lang w:val="bg-BG"/>
                    </w:rPr>
                    <w:t>Великобри-тания</w:t>
                  </w:r>
                </w:p>
                <w:p w:rsidR="00667170" w:rsidRPr="007C4468" w:rsidRDefault="00667170" w:rsidP="00E5067D">
                  <w:pPr>
                    <w:jc w:val="center"/>
                    <w:rPr>
                      <w:rFonts w:asciiTheme="majorHAnsi" w:hAnsiTheme="majorHAnsi"/>
                      <w:b/>
                      <w:lang w:val="bg-BG"/>
                    </w:rPr>
                  </w:pPr>
                </w:p>
              </w:tc>
              <w:tc>
                <w:tcPr>
                  <w:tcW w:w="1276" w:type="dxa"/>
                </w:tcPr>
                <w:p w:rsidR="00667170" w:rsidRPr="007C4468" w:rsidRDefault="00667170" w:rsidP="00E5067D">
                  <w:pPr>
                    <w:pStyle w:val="Default"/>
                    <w:jc w:val="center"/>
                    <w:rPr>
                      <w:rFonts w:asciiTheme="majorHAnsi" w:hAnsiTheme="majorHAnsi"/>
                      <w:b/>
                      <w:sz w:val="18"/>
                      <w:szCs w:val="18"/>
                    </w:rPr>
                  </w:pPr>
                  <w:r w:rsidRPr="007C4468">
                    <w:rPr>
                      <w:rFonts w:asciiTheme="majorHAnsi" w:eastAsia="Times New Roman" w:hAnsiTheme="majorHAnsi" w:cs="Times New Roman"/>
                      <w:b/>
                      <w:color w:val="auto"/>
                      <w:sz w:val="18"/>
                      <w:szCs w:val="18"/>
                      <w:lang w:eastAsia="bg-BG"/>
                    </w:rPr>
                    <w:t>SA.41939</w:t>
                  </w:r>
                  <w:r w:rsidRPr="007C4468">
                    <w:rPr>
                      <w:rStyle w:val="FootnoteReference"/>
                      <w:rFonts w:asciiTheme="majorHAnsi" w:eastAsia="Times New Roman" w:hAnsiTheme="majorHAnsi" w:cs="Times New Roman"/>
                      <w:b/>
                      <w:color w:val="auto"/>
                      <w:sz w:val="18"/>
                      <w:szCs w:val="18"/>
                      <w:lang w:eastAsia="bg-BG"/>
                    </w:rPr>
                    <w:footnoteReference w:id="10"/>
                  </w:r>
                </w:p>
              </w:tc>
              <w:tc>
                <w:tcPr>
                  <w:tcW w:w="2702"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Помощ За UK Coal</w:t>
                  </w:r>
                </w:p>
              </w:tc>
              <w:tc>
                <w:tcPr>
                  <w:tcW w:w="1621"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Помощ за закриване</w:t>
                  </w:r>
                </w:p>
              </w:tc>
              <w:tc>
                <w:tcPr>
                  <w:tcW w:w="1267"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24.07.2015</w:t>
                  </w:r>
                </w:p>
              </w:tc>
            </w:tr>
            <w:tr w:rsidR="00667170" w:rsidRPr="007C4468" w:rsidTr="00471662">
              <w:trPr>
                <w:trHeight w:val="641"/>
              </w:trPr>
              <w:tc>
                <w:tcPr>
                  <w:tcW w:w="1446" w:type="dxa"/>
                </w:tcPr>
                <w:p w:rsidR="00667170" w:rsidRPr="007C4468" w:rsidRDefault="00667170" w:rsidP="00E5067D">
                  <w:pPr>
                    <w:jc w:val="center"/>
                    <w:rPr>
                      <w:rFonts w:asciiTheme="majorHAnsi" w:hAnsiTheme="majorHAnsi"/>
                      <w:b/>
                      <w:lang w:val="bg-BG"/>
                    </w:rPr>
                  </w:pPr>
                  <w:r w:rsidRPr="007C4468">
                    <w:rPr>
                      <w:rFonts w:asciiTheme="majorHAnsi" w:hAnsiTheme="majorHAnsi"/>
                      <w:b/>
                      <w:lang w:val="bg-BG"/>
                    </w:rPr>
                    <w:t>Германия</w:t>
                  </w:r>
                </w:p>
                <w:p w:rsidR="00667170" w:rsidRPr="007C4468" w:rsidRDefault="00667170" w:rsidP="00E5067D">
                  <w:pPr>
                    <w:jc w:val="center"/>
                    <w:rPr>
                      <w:rFonts w:asciiTheme="majorHAnsi" w:hAnsiTheme="majorHAnsi"/>
                      <w:b/>
                      <w:lang w:val="bg-BG"/>
                    </w:rPr>
                  </w:pPr>
                </w:p>
              </w:tc>
              <w:tc>
                <w:tcPr>
                  <w:tcW w:w="1276" w:type="dxa"/>
                </w:tcPr>
                <w:p w:rsidR="00667170" w:rsidRPr="007C4468" w:rsidRDefault="00667170" w:rsidP="00E5067D">
                  <w:pPr>
                    <w:pStyle w:val="Default"/>
                    <w:jc w:val="center"/>
                    <w:rPr>
                      <w:rFonts w:asciiTheme="majorHAnsi" w:hAnsiTheme="majorHAnsi"/>
                      <w:b/>
                      <w:sz w:val="18"/>
                      <w:szCs w:val="18"/>
                    </w:rPr>
                  </w:pPr>
                  <w:r w:rsidRPr="007C4468">
                    <w:rPr>
                      <w:rFonts w:asciiTheme="majorHAnsi" w:eastAsia="Times New Roman" w:hAnsiTheme="majorHAnsi" w:cs="Times New Roman"/>
                      <w:b/>
                      <w:color w:val="auto"/>
                      <w:sz w:val="18"/>
                      <w:szCs w:val="18"/>
                      <w:lang w:eastAsia="bg-BG"/>
                    </w:rPr>
                    <w:t>SA.40836</w:t>
                  </w:r>
                  <w:r w:rsidRPr="007C4468">
                    <w:rPr>
                      <w:rStyle w:val="FootnoteReference"/>
                      <w:rFonts w:asciiTheme="majorHAnsi" w:eastAsia="Times New Roman" w:hAnsiTheme="majorHAnsi" w:cs="Times New Roman"/>
                      <w:b/>
                      <w:color w:val="auto"/>
                      <w:sz w:val="18"/>
                      <w:szCs w:val="18"/>
                      <w:lang w:eastAsia="bg-BG"/>
                    </w:rPr>
                    <w:footnoteReference w:id="11"/>
                  </w:r>
                  <w:r w:rsidRPr="007C4468">
                    <w:rPr>
                      <w:rFonts w:asciiTheme="majorHAnsi" w:eastAsia="Times New Roman" w:hAnsiTheme="majorHAnsi" w:cs="Times New Roman"/>
                      <w:b/>
                      <w:color w:val="auto"/>
                      <w:sz w:val="18"/>
                      <w:szCs w:val="18"/>
                      <w:lang w:eastAsia="bg-BG"/>
                    </w:rPr>
                    <w:t xml:space="preserve"> </w:t>
                  </w:r>
                </w:p>
              </w:tc>
              <w:tc>
                <w:tcPr>
                  <w:tcW w:w="2702"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Промяна в обхвата на прилагането на метода за изчисляване на елемента на помощ при гаранции</w:t>
                  </w:r>
                </w:p>
              </w:tc>
              <w:tc>
                <w:tcPr>
                  <w:tcW w:w="1621"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Други</w:t>
                  </w:r>
                </w:p>
              </w:tc>
              <w:tc>
                <w:tcPr>
                  <w:tcW w:w="1267"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27.07.2015</w:t>
                  </w:r>
                </w:p>
              </w:tc>
            </w:tr>
            <w:tr w:rsidR="00667170" w:rsidRPr="007C4468" w:rsidTr="00471662">
              <w:trPr>
                <w:trHeight w:val="641"/>
              </w:trPr>
              <w:tc>
                <w:tcPr>
                  <w:tcW w:w="1446" w:type="dxa"/>
                </w:tcPr>
                <w:p w:rsidR="00667170" w:rsidRPr="007C4468" w:rsidRDefault="00667170" w:rsidP="00E5067D">
                  <w:pPr>
                    <w:jc w:val="center"/>
                    <w:rPr>
                      <w:rFonts w:asciiTheme="majorHAnsi" w:hAnsiTheme="majorHAnsi"/>
                      <w:b/>
                      <w:lang w:val="bg-BG"/>
                    </w:rPr>
                  </w:pPr>
                  <w:r w:rsidRPr="007C4468">
                    <w:rPr>
                      <w:rFonts w:asciiTheme="majorHAnsi" w:hAnsiTheme="majorHAnsi"/>
                      <w:b/>
                      <w:lang w:val="bg-BG"/>
                    </w:rPr>
                    <w:t>Великобри-тания</w:t>
                  </w:r>
                </w:p>
                <w:p w:rsidR="00667170" w:rsidRPr="007C4468" w:rsidRDefault="00667170" w:rsidP="00E5067D">
                  <w:pPr>
                    <w:jc w:val="center"/>
                    <w:rPr>
                      <w:rFonts w:asciiTheme="majorHAnsi" w:hAnsiTheme="majorHAnsi"/>
                      <w:b/>
                      <w:lang w:val="bg-BG"/>
                    </w:rPr>
                  </w:pPr>
                </w:p>
              </w:tc>
              <w:tc>
                <w:tcPr>
                  <w:tcW w:w="1276" w:type="dxa"/>
                </w:tcPr>
                <w:p w:rsidR="00667170" w:rsidRPr="007C4468" w:rsidRDefault="00667170" w:rsidP="00E5067D">
                  <w:pPr>
                    <w:pStyle w:val="Default"/>
                    <w:jc w:val="center"/>
                    <w:rPr>
                      <w:rFonts w:asciiTheme="majorHAnsi" w:eastAsia="Times New Roman" w:hAnsiTheme="majorHAnsi" w:cs="Times New Roman"/>
                      <w:b/>
                      <w:color w:val="auto"/>
                      <w:sz w:val="18"/>
                      <w:szCs w:val="18"/>
                      <w:lang w:eastAsia="bg-BG"/>
                    </w:rPr>
                  </w:pPr>
                  <w:r w:rsidRPr="007C4468">
                    <w:rPr>
                      <w:rFonts w:asciiTheme="majorHAnsi" w:eastAsia="Times New Roman" w:hAnsiTheme="majorHAnsi" w:cs="Times New Roman"/>
                      <w:b/>
                      <w:color w:val="auto"/>
                      <w:sz w:val="18"/>
                      <w:szCs w:val="18"/>
                      <w:lang w:eastAsia="bg-BG"/>
                    </w:rPr>
                    <w:t>SA.39466</w:t>
                  </w:r>
                  <w:r w:rsidRPr="007C4468">
                    <w:rPr>
                      <w:rStyle w:val="FootnoteReference"/>
                      <w:rFonts w:asciiTheme="majorHAnsi" w:eastAsia="Times New Roman" w:hAnsiTheme="majorHAnsi" w:cs="Times New Roman"/>
                      <w:b/>
                      <w:color w:val="auto"/>
                      <w:sz w:val="18"/>
                      <w:szCs w:val="18"/>
                      <w:lang w:eastAsia="bg-BG"/>
                    </w:rPr>
                    <w:footnoteReference w:id="12"/>
                  </w:r>
                </w:p>
                <w:p w:rsidR="00667170" w:rsidRPr="007C4468" w:rsidRDefault="00667170" w:rsidP="00E5067D">
                  <w:pPr>
                    <w:rPr>
                      <w:rFonts w:asciiTheme="majorHAnsi" w:hAnsiTheme="majorHAnsi"/>
                      <w:b/>
                      <w:sz w:val="18"/>
                      <w:szCs w:val="18"/>
                      <w:lang w:val="bg-BG"/>
                    </w:rPr>
                  </w:pPr>
                </w:p>
              </w:tc>
              <w:tc>
                <w:tcPr>
                  <w:tcW w:w="2702"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Помощ за стартиращи предприятия за авиокомпании, опериращи в Обединеното кралство</w:t>
                  </w:r>
                </w:p>
              </w:tc>
              <w:tc>
                <w:tcPr>
                  <w:tcW w:w="1621"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Регионално развитие</w:t>
                  </w:r>
                </w:p>
              </w:tc>
              <w:tc>
                <w:tcPr>
                  <w:tcW w:w="1267"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31.07.2015</w:t>
                  </w:r>
                </w:p>
              </w:tc>
            </w:tr>
            <w:tr w:rsidR="00667170" w:rsidRPr="007C4468" w:rsidTr="00471662">
              <w:trPr>
                <w:trHeight w:val="641"/>
              </w:trPr>
              <w:tc>
                <w:tcPr>
                  <w:tcW w:w="1446" w:type="dxa"/>
                </w:tcPr>
                <w:p w:rsidR="00667170" w:rsidRPr="007C4468" w:rsidRDefault="00667170" w:rsidP="00E2630C">
                  <w:pPr>
                    <w:jc w:val="center"/>
                    <w:rPr>
                      <w:rFonts w:asciiTheme="majorHAnsi" w:hAnsiTheme="majorHAnsi"/>
                      <w:b/>
                      <w:lang w:val="bg-BG"/>
                    </w:rPr>
                  </w:pPr>
                  <w:r w:rsidRPr="007C4468">
                    <w:rPr>
                      <w:rFonts w:asciiTheme="majorHAnsi" w:hAnsiTheme="majorHAnsi"/>
                      <w:b/>
                      <w:lang w:val="bg-BG"/>
                    </w:rPr>
                    <w:t>Чехия</w:t>
                  </w:r>
                </w:p>
                <w:p w:rsidR="00667170" w:rsidRPr="007C4468" w:rsidRDefault="00667170" w:rsidP="0069247B">
                  <w:pPr>
                    <w:jc w:val="center"/>
                    <w:rPr>
                      <w:rFonts w:asciiTheme="majorHAnsi" w:hAnsiTheme="majorHAnsi"/>
                      <w:b/>
                      <w:lang w:val="bg-BG"/>
                    </w:rPr>
                  </w:pPr>
                </w:p>
              </w:tc>
              <w:tc>
                <w:tcPr>
                  <w:tcW w:w="1276" w:type="dxa"/>
                </w:tcPr>
                <w:p w:rsidR="00667170" w:rsidRPr="007C4468" w:rsidRDefault="00667170" w:rsidP="00F27442">
                  <w:pPr>
                    <w:pStyle w:val="Default"/>
                    <w:jc w:val="center"/>
                    <w:rPr>
                      <w:rFonts w:asciiTheme="majorHAnsi" w:hAnsiTheme="majorHAnsi"/>
                      <w:sz w:val="18"/>
                      <w:szCs w:val="18"/>
                    </w:rPr>
                  </w:pPr>
                  <w:r w:rsidRPr="007C4468">
                    <w:rPr>
                      <w:rFonts w:asciiTheme="majorHAnsi" w:eastAsia="Times New Roman" w:hAnsiTheme="majorHAnsi" w:cs="Times New Roman"/>
                      <w:b/>
                      <w:color w:val="auto"/>
                      <w:sz w:val="18"/>
                      <w:szCs w:val="18"/>
                      <w:lang w:eastAsia="bg-BG"/>
                    </w:rPr>
                    <w:t>SA.39654</w:t>
                  </w:r>
                  <w:r w:rsidRPr="007C4468">
                    <w:rPr>
                      <w:rStyle w:val="FootnoteReference"/>
                      <w:rFonts w:asciiTheme="majorHAnsi" w:eastAsia="Times New Roman" w:hAnsiTheme="majorHAnsi" w:cs="Times New Roman"/>
                      <w:b/>
                      <w:color w:val="auto"/>
                      <w:sz w:val="18"/>
                      <w:szCs w:val="18"/>
                      <w:lang w:eastAsia="bg-BG"/>
                    </w:rPr>
                    <w:footnoteReference w:id="13"/>
                  </w:r>
                  <w:r w:rsidRPr="007C4468">
                    <w:rPr>
                      <w:rFonts w:asciiTheme="majorHAnsi" w:eastAsia="Times New Roman" w:hAnsiTheme="majorHAnsi" w:cs="Times New Roman"/>
                      <w:b/>
                      <w:color w:val="auto"/>
                      <w:sz w:val="18"/>
                      <w:szCs w:val="18"/>
                      <w:lang w:eastAsia="bg-BG"/>
                    </w:rPr>
                    <w:t xml:space="preserve"> </w:t>
                  </w:r>
                </w:p>
              </w:tc>
              <w:tc>
                <w:tcPr>
                  <w:tcW w:w="2702" w:type="dxa"/>
                </w:tcPr>
                <w:p w:rsidR="00667170" w:rsidRPr="007C4468" w:rsidRDefault="00667170" w:rsidP="00A12537">
                  <w:pPr>
                    <w:jc w:val="center"/>
                    <w:rPr>
                      <w:rFonts w:asciiTheme="majorHAnsi" w:hAnsiTheme="majorHAnsi"/>
                      <w:sz w:val="18"/>
                      <w:szCs w:val="18"/>
                      <w:lang w:val="bg-BG"/>
                    </w:rPr>
                  </w:pPr>
                  <w:r w:rsidRPr="007C4468">
                    <w:rPr>
                      <w:rFonts w:asciiTheme="majorHAnsi" w:hAnsiTheme="majorHAnsi"/>
                      <w:sz w:val="18"/>
                      <w:szCs w:val="18"/>
                      <w:lang w:val="bg-BG"/>
                    </w:rPr>
                    <w:t>Многогодишна подкрепа за биогорива в транспорния сектор</w:t>
                  </w:r>
                </w:p>
              </w:tc>
              <w:tc>
                <w:tcPr>
                  <w:tcW w:w="1621" w:type="dxa"/>
                </w:tcPr>
                <w:p w:rsidR="00667170" w:rsidRPr="007C4468" w:rsidRDefault="00667170" w:rsidP="0069247B">
                  <w:pPr>
                    <w:jc w:val="center"/>
                    <w:rPr>
                      <w:rFonts w:asciiTheme="majorHAnsi" w:hAnsiTheme="majorHAnsi"/>
                      <w:sz w:val="18"/>
                      <w:szCs w:val="18"/>
                      <w:lang w:val="bg-BG"/>
                    </w:rPr>
                  </w:pPr>
                  <w:r w:rsidRPr="007C4468">
                    <w:rPr>
                      <w:rFonts w:asciiTheme="majorHAnsi" w:hAnsiTheme="majorHAnsi"/>
                      <w:sz w:val="18"/>
                      <w:szCs w:val="18"/>
                      <w:lang w:val="bg-BG"/>
                    </w:rPr>
                    <w:t>Защита на околната среда</w:t>
                  </w:r>
                </w:p>
              </w:tc>
              <w:tc>
                <w:tcPr>
                  <w:tcW w:w="1267" w:type="dxa"/>
                </w:tcPr>
                <w:p w:rsidR="00667170" w:rsidRPr="007C4468" w:rsidRDefault="00667170" w:rsidP="00A85FC0">
                  <w:pPr>
                    <w:jc w:val="center"/>
                    <w:rPr>
                      <w:rFonts w:asciiTheme="majorHAnsi" w:hAnsiTheme="majorHAnsi"/>
                      <w:sz w:val="18"/>
                      <w:szCs w:val="18"/>
                      <w:lang w:val="bg-BG"/>
                    </w:rPr>
                  </w:pPr>
                  <w:r w:rsidRPr="007C4468">
                    <w:rPr>
                      <w:rFonts w:asciiTheme="majorHAnsi" w:hAnsiTheme="majorHAnsi"/>
                      <w:sz w:val="18"/>
                      <w:szCs w:val="18"/>
                      <w:lang w:val="bg-BG"/>
                    </w:rPr>
                    <w:t>12.08.2015</w:t>
                  </w:r>
                </w:p>
              </w:tc>
            </w:tr>
            <w:tr w:rsidR="00667170" w:rsidRPr="007C4468" w:rsidTr="00471662">
              <w:trPr>
                <w:trHeight w:val="641"/>
              </w:trPr>
              <w:tc>
                <w:tcPr>
                  <w:tcW w:w="1446" w:type="dxa"/>
                </w:tcPr>
                <w:p w:rsidR="00667170" w:rsidRPr="007C4468" w:rsidRDefault="00667170" w:rsidP="00275D09">
                  <w:pPr>
                    <w:jc w:val="center"/>
                    <w:rPr>
                      <w:rFonts w:asciiTheme="majorHAnsi" w:hAnsiTheme="majorHAnsi"/>
                      <w:b/>
                      <w:lang w:val="bg-BG"/>
                    </w:rPr>
                  </w:pPr>
                  <w:r w:rsidRPr="007C4468">
                    <w:rPr>
                      <w:rFonts w:asciiTheme="majorHAnsi" w:hAnsiTheme="majorHAnsi"/>
                      <w:b/>
                      <w:lang w:val="bg-BG"/>
                    </w:rPr>
                    <w:t>Чехия</w:t>
                  </w:r>
                </w:p>
                <w:p w:rsidR="00667170" w:rsidRPr="007C4468" w:rsidRDefault="00667170" w:rsidP="0069247B">
                  <w:pPr>
                    <w:jc w:val="center"/>
                    <w:rPr>
                      <w:rFonts w:asciiTheme="majorHAnsi" w:hAnsiTheme="majorHAnsi"/>
                      <w:b/>
                      <w:lang w:val="bg-BG"/>
                    </w:rPr>
                  </w:pPr>
                </w:p>
              </w:tc>
              <w:tc>
                <w:tcPr>
                  <w:tcW w:w="1276" w:type="dxa"/>
                </w:tcPr>
                <w:p w:rsidR="00667170" w:rsidRPr="007C4468" w:rsidRDefault="00667170" w:rsidP="00F27442">
                  <w:pPr>
                    <w:pStyle w:val="Default"/>
                    <w:jc w:val="center"/>
                    <w:rPr>
                      <w:rFonts w:asciiTheme="majorHAnsi" w:hAnsiTheme="majorHAnsi"/>
                      <w:b/>
                      <w:sz w:val="18"/>
                      <w:szCs w:val="18"/>
                    </w:rPr>
                  </w:pPr>
                  <w:r w:rsidRPr="007C4468">
                    <w:rPr>
                      <w:rFonts w:asciiTheme="majorHAnsi" w:eastAsia="Times New Roman" w:hAnsiTheme="majorHAnsi" w:cs="Times New Roman"/>
                      <w:b/>
                      <w:color w:val="auto"/>
                      <w:sz w:val="18"/>
                      <w:szCs w:val="18"/>
                      <w:lang w:eastAsia="bg-BG"/>
                    </w:rPr>
                    <w:t>SA.39962</w:t>
                  </w:r>
                  <w:r w:rsidRPr="007C4468">
                    <w:rPr>
                      <w:rStyle w:val="FootnoteReference"/>
                      <w:rFonts w:asciiTheme="majorHAnsi" w:eastAsia="Times New Roman" w:hAnsiTheme="majorHAnsi" w:cs="Times New Roman"/>
                      <w:b/>
                      <w:color w:val="auto"/>
                      <w:sz w:val="18"/>
                      <w:szCs w:val="18"/>
                      <w:lang w:eastAsia="bg-BG"/>
                    </w:rPr>
                    <w:footnoteReference w:id="14"/>
                  </w:r>
                  <w:r w:rsidRPr="007C4468">
                    <w:rPr>
                      <w:rFonts w:asciiTheme="majorHAnsi" w:eastAsia="Times New Roman" w:hAnsiTheme="majorHAnsi" w:cs="Times New Roman"/>
                      <w:b/>
                      <w:color w:val="auto"/>
                      <w:sz w:val="18"/>
                      <w:szCs w:val="18"/>
                      <w:lang w:eastAsia="bg-BG"/>
                    </w:rPr>
                    <w:t xml:space="preserve"> </w:t>
                  </w:r>
                </w:p>
              </w:tc>
              <w:tc>
                <w:tcPr>
                  <w:tcW w:w="2702" w:type="dxa"/>
                </w:tcPr>
                <w:p w:rsidR="00667170" w:rsidRPr="007C4468" w:rsidRDefault="00667170" w:rsidP="0069247B">
                  <w:pPr>
                    <w:jc w:val="center"/>
                    <w:rPr>
                      <w:rFonts w:asciiTheme="majorHAnsi" w:hAnsiTheme="majorHAnsi"/>
                      <w:sz w:val="18"/>
                      <w:szCs w:val="18"/>
                      <w:lang w:val="bg-BG"/>
                    </w:rPr>
                  </w:pPr>
                  <w:r w:rsidRPr="007C4468">
                    <w:rPr>
                      <w:rFonts w:asciiTheme="majorHAnsi" w:hAnsiTheme="majorHAnsi"/>
                      <w:sz w:val="18"/>
                      <w:szCs w:val="18"/>
                      <w:lang w:val="bg-BG"/>
                    </w:rPr>
                    <w:t>Схема за помощ за модернизация и изграждане на терминали за комбиниран транспорт</w:t>
                  </w:r>
                </w:p>
              </w:tc>
              <w:tc>
                <w:tcPr>
                  <w:tcW w:w="1621" w:type="dxa"/>
                </w:tcPr>
                <w:p w:rsidR="00667170" w:rsidRPr="007C4468" w:rsidRDefault="00667170" w:rsidP="0069247B">
                  <w:pPr>
                    <w:jc w:val="center"/>
                    <w:rPr>
                      <w:rFonts w:asciiTheme="majorHAnsi" w:hAnsiTheme="majorHAnsi"/>
                      <w:sz w:val="18"/>
                      <w:szCs w:val="18"/>
                      <w:lang w:val="bg-BG"/>
                    </w:rPr>
                  </w:pPr>
                  <w:r w:rsidRPr="007C4468">
                    <w:rPr>
                      <w:rFonts w:asciiTheme="majorHAnsi" w:hAnsiTheme="majorHAnsi"/>
                      <w:sz w:val="18"/>
                      <w:szCs w:val="18"/>
                      <w:lang w:val="bg-BG"/>
                    </w:rPr>
                    <w:t>Секторно развитие</w:t>
                  </w:r>
                </w:p>
              </w:tc>
              <w:tc>
                <w:tcPr>
                  <w:tcW w:w="1267" w:type="dxa"/>
                </w:tcPr>
                <w:p w:rsidR="00667170" w:rsidRPr="007C4468" w:rsidRDefault="00667170" w:rsidP="00A85FC0">
                  <w:pPr>
                    <w:jc w:val="center"/>
                    <w:rPr>
                      <w:rFonts w:asciiTheme="majorHAnsi" w:hAnsiTheme="majorHAnsi"/>
                      <w:sz w:val="18"/>
                      <w:szCs w:val="18"/>
                      <w:lang w:val="bg-BG"/>
                    </w:rPr>
                  </w:pPr>
                  <w:r w:rsidRPr="007C4468">
                    <w:rPr>
                      <w:rFonts w:asciiTheme="majorHAnsi" w:hAnsiTheme="majorHAnsi"/>
                      <w:sz w:val="18"/>
                      <w:szCs w:val="18"/>
                      <w:lang w:val="bg-BG"/>
                    </w:rPr>
                    <w:t>12.08.2015</w:t>
                  </w:r>
                </w:p>
              </w:tc>
            </w:tr>
            <w:tr w:rsidR="00667170" w:rsidRPr="007C4468" w:rsidTr="00471662">
              <w:trPr>
                <w:trHeight w:val="641"/>
              </w:trPr>
              <w:tc>
                <w:tcPr>
                  <w:tcW w:w="1446" w:type="dxa"/>
                </w:tcPr>
                <w:p w:rsidR="00667170" w:rsidRPr="007C4468" w:rsidRDefault="00667170" w:rsidP="00E5067D">
                  <w:pPr>
                    <w:jc w:val="center"/>
                    <w:rPr>
                      <w:rFonts w:asciiTheme="majorHAnsi" w:hAnsiTheme="majorHAnsi"/>
                      <w:b/>
                      <w:lang w:val="bg-BG"/>
                    </w:rPr>
                  </w:pPr>
                  <w:r w:rsidRPr="007C4468">
                    <w:rPr>
                      <w:rFonts w:asciiTheme="majorHAnsi" w:hAnsiTheme="majorHAnsi"/>
                      <w:b/>
                      <w:lang w:val="bg-BG"/>
                    </w:rPr>
                    <w:t>Унгария</w:t>
                  </w:r>
                </w:p>
                <w:p w:rsidR="00667170" w:rsidRPr="007C4468" w:rsidRDefault="00667170" w:rsidP="00E5067D">
                  <w:pPr>
                    <w:jc w:val="center"/>
                    <w:rPr>
                      <w:rFonts w:asciiTheme="majorHAnsi" w:hAnsiTheme="majorHAnsi"/>
                      <w:b/>
                      <w:lang w:val="bg-BG"/>
                    </w:rPr>
                  </w:pPr>
                </w:p>
              </w:tc>
              <w:tc>
                <w:tcPr>
                  <w:tcW w:w="1276" w:type="dxa"/>
                </w:tcPr>
                <w:p w:rsidR="00667170" w:rsidRPr="007C4468" w:rsidRDefault="00667170" w:rsidP="00E5067D">
                  <w:pPr>
                    <w:pStyle w:val="Default"/>
                    <w:jc w:val="center"/>
                    <w:rPr>
                      <w:rFonts w:asciiTheme="majorHAnsi" w:hAnsiTheme="majorHAnsi"/>
                      <w:b/>
                      <w:sz w:val="18"/>
                      <w:szCs w:val="18"/>
                    </w:rPr>
                  </w:pPr>
                  <w:r w:rsidRPr="007C4468">
                    <w:rPr>
                      <w:rFonts w:asciiTheme="majorHAnsi" w:eastAsia="Times New Roman" w:hAnsiTheme="majorHAnsi" w:cs="Times New Roman"/>
                      <w:b/>
                      <w:color w:val="auto"/>
                      <w:sz w:val="18"/>
                      <w:szCs w:val="18"/>
                      <w:lang w:eastAsia="bg-BG"/>
                    </w:rPr>
                    <w:t>SA.39177</w:t>
                  </w:r>
                  <w:r w:rsidRPr="007C4468">
                    <w:rPr>
                      <w:rStyle w:val="FootnoteReference"/>
                      <w:rFonts w:asciiTheme="majorHAnsi" w:eastAsia="Times New Roman" w:hAnsiTheme="majorHAnsi" w:cs="Times New Roman"/>
                      <w:b/>
                      <w:color w:val="auto"/>
                      <w:sz w:val="18"/>
                      <w:szCs w:val="18"/>
                      <w:lang w:eastAsia="bg-BG"/>
                    </w:rPr>
                    <w:footnoteReference w:id="15"/>
                  </w:r>
                  <w:r w:rsidRPr="007C4468">
                    <w:rPr>
                      <w:rFonts w:asciiTheme="majorHAnsi" w:eastAsia="Times New Roman" w:hAnsiTheme="majorHAnsi" w:cs="Times New Roman"/>
                      <w:b/>
                      <w:color w:val="auto"/>
                      <w:sz w:val="18"/>
                      <w:szCs w:val="18"/>
                      <w:lang w:eastAsia="bg-BG"/>
                    </w:rPr>
                    <w:t xml:space="preserve"> </w:t>
                  </w:r>
                </w:p>
              </w:tc>
              <w:tc>
                <w:tcPr>
                  <w:tcW w:w="2702"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Интермодално развитие на пристанището в Baja</w:t>
                  </w:r>
                </w:p>
              </w:tc>
              <w:tc>
                <w:tcPr>
                  <w:tcW w:w="1621"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Секторно развитие</w:t>
                  </w:r>
                </w:p>
              </w:tc>
              <w:tc>
                <w:tcPr>
                  <w:tcW w:w="1267"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21.08.2015</w:t>
                  </w:r>
                </w:p>
              </w:tc>
            </w:tr>
            <w:tr w:rsidR="00667170" w:rsidRPr="007C4468" w:rsidTr="00471662">
              <w:trPr>
                <w:trHeight w:val="641"/>
              </w:trPr>
              <w:tc>
                <w:tcPr>
                  <w:tcW w:w="1446" w:type="dxa"/>
                </w:tcPr>
                <w:p w:rsidR="00667170" w:rsidRPr="007C4468" w:rsidRDefault="00667170" w:rsidP="00E2630C">
                  <w:pPr>
                    <w:jc w:val="center"/>
                    <w:rPr>
                      <w:rFonts w:asciiTheme="majorHAnsi" w:hAnsiTheme="majorHAnsi"/>
                      <w:b/>
                      <w:lang w:val="bg-BG"/>
                    </w:rPr>
                  </w:pPr>
                  <w:r w:rsidRPr="007C4468">
                    <w:rPr>
                      <w:rFonts w:asciiTheme="majorHAnsi" w:hAnsiTheme="majorHAnsi"/>
                      <w:b/>
                      <w:lang w:val="bg-BG"/>
                    </w:rPr>
                    <w:t>Дания</w:t>
                  </w:r>
                </w:p>
                <w:p w:rsidR="00667170" w:rsidRPr="007C4468" w:rsidRDefault="00667170" w:rsidP="00E2630C">
                  <w:pPr>
                    <w:jc w:val="center"/>
                    <w:rPr>
                      <w:rFonts w:asciiTheme="majorHAnsi" w:hAnsiTheme="majorHAnsi"/>
                      <w:b/>
                      <w:lang w:val="bg-BG"/>
                    </w:rPr>
                  </w:pPr>
                </w:p>
              </w:tc>
              <w:tc>
                <w:tcPr>
                  <w:tcW w:w="1276" w:type="dxa"/>
                </w:tcPr>
                <w:p w:rsidR="00667170" w:rsidRPr="007C4468" w:rsidRDefault="00667170" w:rsidP="00F27442">
                  <w:pPr>
                    <w:pStyle w:val="Default"/>
                    <w:jc w:val="center"/>
                    <w:rPr>
                      <w:rFonts w:asciiTheme="majorHAnsi" w:hAnsiTheme="majorHAnsi"/>
                      <w:b/>
                      <w:sz w:val="18"/>
                      <w:szCs w:val="18"/>
                    </w:rPr>
                  </w:pPr>
                  <w:r w:rsidRPr="007C4468">
                    <w:rPr>
                      <w:rFonts w:asciiTheme="majorHAnsi" w:eastAsia="Times New Roman" w:hAnsiTheme="majorHAnsi" w:cs="Times New Roman"/>
                      <w:b/>
                      <w:color w:val="auto"/>
                      <w:sz w:val="18"/>
                      <w:szCs w:val="18"/>
                      <w:lang w:eastAsia="bg-BG"/>
                    </w:rPr>
                    <w:t>SA.42424</w:t>
                  </w:r>
                  <w:r w:rsidRPr="007C4468">
                    <w:rPr>
                      <w:rStyle w:val="FootnoteReference"/>
                      <w:rFonts w:asciiTheme="majorHAnsi" w:eastAsia="Times New Roman" w:hAnsiTheme="majorHAnsi" w:cs="Times New Roman"/>
                      <w:b/>
                      <w:color w:val="auto"/>
                      <w:sz w:val="18"/>
                      <w:szCs w:val="18"/>
                      <w:lang w:eastAsia="bg-BG"/>
                    </w:rPr>
                    <w:footnoteReference w:id="16"/>
                  </w:r>
                </w:p>
              </w:tc>
              <w:tc>
                <w:tcPr>
                  <w:tcW w:w="2702" w:type="dxa"/>
                </w:tcPr>
                <w:p w:rsidR="00667170" w:rsidRPr="007C4468" w:rsidRDefault="00667170" w:rsidP="00EE53EA">
                  <w:pPr>
                    <w:jc w:val="center"/>
                    <w:rPr>
                      <w:rFonts w:asciiTheme="majorHAnsi" w:hAnsiTheme="majorHAnsi"/>
                      <w:sz w:val="18"/>
                      <w:szCs w:val="18"/>
                      <w:lang w:val="bg-BG"/>
                    </w:rPr>
                  </w:pPr>
                  <w:r w:rsidRPr="007C4468">
                    <w:rPr>
                      <w:rFonts w:asciiTheme="majorHAnsi" w:hAnsiTheme="majorHAnsi"/>
                      <w:sz w:val="18"/>
                      <w:szCs w:val="18"/>
                      <w:lang w:val="bg-BG"/>
                    </w:rPr>
                    <w:t>Намалени вноски за финансирането на възобновяемите  енергийни източници за енергоемки потребители</w:t>
                  </w:r>
                </w:p>
              </w:tc>
              <w:tc>
                <w:tcPr>
                  <w:tcW w:w="1621" w:type="dxa"/>
                </w:tcPr>
                <w:p w:rsidR="00667170" w:rsidRPr="007C4468" w:rsidRDefault="00667170" w:rsidP="00EE53EA">
                  <w:pPr>
                    <w:jc w:val="center"/>
                    <w:rPr>
                      <w:rFonts w:asciiTheme="majorHAnsi" w:hAnsiTheme="majorHAnsi"/>
                      <w:sz w:val="18"/>
                      <w:szCs w:val="18"/>
                      <w:lang w:val="bg-BG"/>
                    </w:rPr>
                  </w:pPr>
                  <w:r w:rsidRPr="007C4468">
                    <w:rPr>
                      <w:rFonts w:asciiTheme="majorHAnsi" w:hAnsiTheme="majorHAnsi"/>
                      <w:sz w:val="18"/>
                      <w:szCs w:val="18"/>
                      <w:lang w:val="bg-BG"/>
                    </w:rPr>
                    <w:t>Защита на околната среда</w:t>
                  </w:r>
                </w:p>
              </w:tc>
              <w:tc>
                <w:tcPr>
                  <w:tcW w:w="1267" w:type="dxa"/>
                </w:tcPr>
                <w:p w:rsidR="00667170" w:rsidRPr="007C4468" w:rsidRDefault="00667170" w:rsidP="00A85FC0">
                  <w:pPr>
                    <w:jc w:val="center"/>
                    <w:rPr>
                      <w:rFonts w:asciiTheme="majorHAnsi" w:hAnsiTheme="majorHAnsi"/>
                      <w:sz w:val="18"/>
                      <w:szCs w:val="18"/>
                      <w:lang w:val="bg-BG"/>
                    </w:rPr>
                  </w:pPr>
                  <w:r w:rsidRPr="007C4468">
                    <w:rPr>
                      <w:rFonts w:asciiTheme="majorHAnsi" w:hAnsiTheme="majorHAnsi"/>
                      <w:sz w:val="18"/>
                      <w:szCs w:val="18"/>
                      <w:lang w:val="bg-BG"/>
                    </w:rPr>
                    <w:t>31.08.2015</w:t>
                  </w:r>
                </w:p>
              </w:tc>
            </w:tr>
            <w:tr w:rsidR="00667170" w:rsidRPr="007C4468" w:rsidTr="00471662">
              <w:trPr>
                <w:trHeight w:val="641"/>
              </w:trPr>
              <w:tc>
                <w:tcPr>
                  <w:tcW w:w="1446" w:type="dxa"/>
                </w:tcPr>
                <w:p w:rsidR="00667170" w:rsidRPr="007C4468" w:rsidRDefault="00667170" w:rsidP="00E5067D">
                  <w:pPr>
                    <w:jc w:val="center"/>
                    <w:rPr>
                      <w:rFonts w:asciiTheme="majorHAnsi" w:hAnsiTheme="majorHAnsi"/>
                      <w:b/>
                      <w:lang w:val="bg-BG"/>
                    </w:rPr>
                  </w:pPr>
                  <w:r w:rsidRPr="007C4468">
                    <w:rPr>
                      <w:rFonts w:asciiTheme="majorHAnsi" w:hAnsiTheme="majorHAnsi"/>
                      <w:b/>
                      <w:lang w:val="bg-BG"/>
                    </w:rPr>
                    <w:t>Хърватия</w:t>
                  </w:r>
                </w:p>
                <w:p w:rsidR="00667170" w:rsidRPr="007C4468" w:rsidRDefault="00667170" w:rsidP="00E5067D">
                  <w:pPr>
                    <w:jc w:val="center"/>
                    <w:rPr>
                      <w:rFonts w:asciiTheme="majorHAnsi" w:hAnsiTheme="majorHAnsi"/>
                      <w:b/>
                      <w:lang w:val="bg-BG"/>
                    </w:rPr>
                  </w:pPr>
                </w:p>
              </w:tc>
              <w:tc>
                <w:tcPr>
                  <w:tcW w:w="1276" w:type="dxa"/>
                </w:tcPr>
                <w:p w:rsidR="00667170" w:rsidRPr="007C4468" w:rsidRDefault="00667170" w:rsidP="00E5067D">
                  <w:pPr>
                    <w:pStyle w:val="Default"/>
                    <w:jc w:val="center"/>
                    <w:rPr>
                      <w:rFonts w:asciiTheme="majorHAnsi" w:eastAsia="Times New Roman" w:hAnsiTheme="majorHAnsi" w:cs="Times New Roman"/>
                      <w:b/>
                      <w:color w:val="auto"/>
                      <w:sz w:val="18"/>
                      <w:szCs w:val="18"/>
                      <w:lang w:eastAsia="bg-BG"/>
                    </w:rPr>
                  </w:pPr>
                  <w:r w:rsidRPr="007C4468">
                    <w:rPr>
                      <w:rFonts w:asciiTheme="majorHAnsi" w:eastAsia="Times New Roman" w:hAnsiTheme="majorHAnsi" w:cs="Times New Roman"/>
                      <w:b/>
                      <w:color w:val="auto"/>
                      <w:sz w:val="18"/>
                      <w:szCs w:val="18"/>
                      <w:lang w:eastAsia="bg-BG"/>
                    </w:rPr>
                    <w:t>SA.38406</w:t>
                  </w:r>
                  <w:r w:rsidRPr="007C4468">
                    <w:rPr>
                      <w:rStyle w:val="FootnoteReference"/>
                      <w:rFonts w:asciiTheme="majorHAnsi" w:eastAsia="Times New Roman" w:hAnsiTheme="majorHAnsi" w:cs="Times New Roman"/>
                      <w:b/>
                      <w:color w:val="auto"/>
                      <w:sz w:val="18"/>
                      <w:szCs w:val="18"/>
                      <w:lang w:eastAsia="bg-BG"/>
                    </w:rPr>
                    <w:footnoteReference w:id="17"/>
                  </w:r>
                  <w:r w:rsidRPr="007C4468">
                    <w:rPr>
                      <w:rFonts w:asciiTheme="majorHAnsi" w:eastAsia="Times New Roman" w:hAnsiTheme="majorHAnsi" w:cs="Times New Roman"/>
                      <w:b/>
                      <w:color w:val="auto"/>
                      <w:sz w:val="18"/>
                      <w:szCs w:val="18"/>
                      <w:lang w:eastAsia="bg-BG"/>
                    </w:rPr>
                    <w:t xml:space="preserve"> </w:t>
                  </w:r>
                </w:p>
                <w:p w:rsidR="00667170" w:rsidRPr="007C4468" w:rsidRDefault="00667170" w:rsidP="00E5067D">
                  <w:pPr>
                    <w:jc w:val="center"/>
                    <w:rPr>
                      <w:rFonts w:asciiTheme="majorHAnsi" w:hAnsiTheme="majorHAnsi"/>
                      <w:b/>
                      <w:sz w:val="18"/>
                      <w:szCs w:val="18"/>
                      <w:lang w:val="bg-BG"/>
                    </w:rPr>
                  </w:pPr>
                </w:p>
              </w:tc>
              <w:tc>
                <w:tcPr>
                  <w:tcW w:w="2702"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Схема за подпомагане на Хърватия в сферата на  възобновяемите  енергийни източници за периода 2014 -2015 г.</w:t>
                  </w:r>
                </w:p>
              </w:tc>
              <w:tc>
                <w:tcPr>
                  <w:tcW w:w="1621"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Защита на околната среда</w:t>
                  </w:r>
                </w:p>
              </w:tc>
              <w:tc>
                <w:tcPr>
                  <w:tcW w:w="1267" w:type="dxa"/>
                </w:tcPr>
                <w:p w:rsidR="00667170" w:rsidRPr="007C4468" w:rsidRDefault="00667170" w:rsidP="00E5067D">
                  <w:pPr>
                    <w:jc w:val="center"/>
                    <w:rPr>
                      <w:rFonts w:asciiTheme="majorHAnsi" w:hAnsiTheme="majorHAnsi"/>
                      <w:sz w:val="18"/>
                      <w:szCs w:val="18"/>
                      <w:lang w:val="bg-BG"/>
                    </w:rPr>
                  </w:pPr>
                  <w:r w:rsidRPr="007C4468">
                    <w:rPr>
                      <w:rFonts w:asciiTheme="majorHAnsi" w:hAnsiTheme="majorHAnsi"/>
                      <w:sz w:val="18"/>
                      <w:szCs w:val="18"/>
                      <w:lang w:val="bg-BG"/>
                    </w:rPr>
                    <w:t>01.09.2015</w:t>
                  </w:r>
                </w:p>
              </w:tc>
            </w:tr>
            <w:tr w:rsidR="00667170" w:rsidRPr="007C4468" w:rsidTr="00471662">
              <w:trPr>
                <w:trHeight w:val="641"/>
              </w:trPr>
              <w:tc>
                <w:tcPr>
                  <w:tcW w:w="1446" w:type="dxa"/>
                </w:tcPr>
                <w:p w:rsidR="00667170" w:rsidRPr="007C4468" w:rsidRDefault="00667170" w:rsidP="00F27442">
                  <w:pPr>
                    <w:jc w:val="center"/>
                    <w:rPr>
                      <w:rFonts w:asciiTheme="majorHAnsi" w:hAnsiTheme="majorHAnsi"/>
                      <w:b/>
                      <w:lang w:val="bg-BG"/>
                    </w:rPr>
                  </w:pPr>
                  <w:r w:rsidRPr="007C4468">
                    <w:rPr>
                      <w:rFonts w:asciiTheme="majorHAnsi" w:hAnsiTheme="majorHAnsi"/>
                      <w:b/>
                      <w:lang w:val="bg-BG"/>
                    </w:rPr>
                    <w:lastRenderedPageBreak/>
                    <w:t>Белгия</w:t>
                  </w:r>
                </w:p>
                <w:p w:rsidR="00667170" w:rsidRPr="007C4468" w:rsidRDefault="00667170" w:rsidP="00E2630C">
                  <w:pPr>
                    <w:jc w:val="center"/>
                    <w:rPr>
                      <w:rFonts w:asciiTheme="majorHAnsi" w:hAnsiTheme="majorHAnsi"/>
                      <w:b/>
                      <w:lang w:val="bg-BG"/>
                    </w:rPr>
                  </w:pPr>
                </w:p>
              </w:tc>
              <w:tc>
                <w:tcPr>
                  <w:tcW w:w="1276" w:type="dxa"/>
                </w:tcPr>
                <w:p w:rsidR="00667170" w:rsidRPr="007C4468" w:rsidRDefault="00667170" w:rsidP="00EE53EA">
                  <w:pPr>
                    <w:rPr>
                      <w:rFonts w:asciiTheme="majorHAnsi" w:hAnsiTheme="majorHAnsi"/>
                      <w:b/>
                      <w:sz w:val="18"/>
                      <w:szCs w:val="18"/>
                      <w:lang w:val="bg-BG"/>
                    </w:rPr>
                  </w:pPr>
                  <w:r w:rsidRPr="007C4468">
                    <w:rPr>
                      <w:rFonts w:asciiTheme="majorHAnsi" w:hAnsiTheme="majorHAnsi"/>
                      <w:b/>
                      <w:sz w:val="18"/>
                      <w:szCs w:val="18"/>
                      <w:lang w:val="bg-BG"/>
                    </w:rPr>
                    <w:t>SA.38336</w:t>
                  </w:r>
                  <w:r w:rsidRPr="007C4468">
                    <w:rPr>
                      <w:rStyle w:val="FootnoteReference"/>
                      <w:rFonts w:asciiTheme="majorHAnsi" w:hAnsiTheme="majorHAnsi"/>
                      <w:b/>
                      <w:sz w:val="18"/>
                      <w:szCs w:val="18"/>
                      <w:lang w:val="bg-BG"/>
                    </w:rPr>
                    <w:footnoteReference w:id="18"/>
                  </w:r>
                </w:p>
              </w:tc>
              <w:tc>
                <w:tcPr>
                  <w:tcW w:w="2702" w:type="dxa"/>
                </w:tcPr>
                <w:p w:rsidR="00667170" w:rsidRPr="007C4468" w:rsidRDefault="00667170" w:rsidP="00041153">
                  <w:pPr>
                    <w:jc w:val="center"/>
                    <w:rPr>
                      <w:rFonts w:asciiTheme="majorHAnsi" w:hAnsiTheme="majorHAnsi"/>
                      <w:sz w:val="18"/>
                      <w:szCs w:val="18"/>
                      <w:lang w:val="bg-BG"/>
                    </w:rPr>
                  </w:pPr>
                  <w:r w:rsidRPr="007C4468">
                    <w:rPr>
                      <w:rFonts w:asciiTheme="majorHAnsi" w:hAnsiTheme="majorHAnsi"/>
                      <w:sz w:val="18"/>
                      <w:szCs w:val="18"/>
                      <w:lang w:val="bg-BG"/>
                    </w:rPr>
                    <w:t>Удължаване на осигурителните вноски за освобождаване от мито за моряци, работещи в областта на морския транспорт и морскoто драгиране</w:t>
                  </w:r>
                </w:p>
              </w:tc>
              <w:tc>
                <w:tcPr>
                  <w:tcW w:w="1621" w:type="dxa"/>
                </w:tcPr>
                <w:p w:rsidR="00667170" w:rsidRPr="007C4468" w:rsidRDefault="00667170" w:rsidP="00EE53EA">
                  <w:pPr>
                    <w:jc w:val="center"/>
                    <w:rPr>
                      <w:rFonts w:asciiTheme="majorHAnsi" w:hAnsiTheme="majorHAnsi"/>
                      <w:sz w:val="18"/>
                      <w:szCs w:val="18"/>
                      <w:lang w:val="bg-BG"/>
                    </w:rPr>
                  </w:pPr>
                </w:p>
              </w:tc>
              <w:tc>
                <w:tcPr>
                  <w:tcW w:w="1267" w:type="dxa"/>
                </w:tcPr>
                <w:p w:rsidR="00667170" w:rsidRPr="007C4468" w:rsidRDefault="00667170" w:rsidP="005E21C9">
                  <w:pPr>
                    <w:jc w:val="center"/>
                    <w:rPr>
                      <w:rFonts w:asciiTheme="majorHAnsi" w:hAnsiTheme="majorHAnsi"/>
                      <w:sz w:val="18"/>
                      <w:szCs w:val="18"/>
                      <w:lang w:val="bg-BG"/>
                    </w:rPr>
                  </w:pPr>
                  <w:r w:rsidRPr="007C4468">
                    <w:rPr>
                      <w:rFonts w:asciiTheme="majorHAnsi" w:hAnsiTheme="majorHAnsi"/>
                      <w:sz w:val="18"/>
                      <w:szCs w:val="18"/>
                      <w:lang w:val="bg-BG"/>
                    </w:rPr>
                    <w:t>14.09.2015</w:t>
                  </w:r>
                </w:p>
              </w:tc>
            </w:tr>
            <w:tr w:rsidR="00667170" w:rsidRPr="007C4468" w:rsidTr="00471662">
              <w:trPr>
                <w:trHeight w:val="641"/>
              </w:trPr>
              <w:tc>
                <w:tcPr>
                  <w:tcW w:w="1446" w:type="dxa"/>
                </w:tcPr>
                <w:p w:rsidR="00667170" w:rsidRPr="007C4468" w:rsidRDefault="00667170" w:rsidP="00F27442">
                  <w:pPr>
                    <w:jc w:val="center"/>
                    <w:rPr>
                      <w:rFonts w:asciiTheme="majorHAnsi" w:hAnsiTheme="majorHAnsi"/>
                      <w:b/>
                      <w:lang w:val="bg-BG"/>
                    </w:rPr>
                  </w:pPr>
                  <w:r w:rsidRPr="007C4468">
                    <w:rPr>
                      <w:rFonts w:asciiTheme="majorHAnsi" w:hAnsiTheme="majorHAnsi"/>
                      <w:b/>
                      <w:lang w:val="bg-BG"/>
                    </w:rPr>
                    <w:t>Белгия</w:t>
                  </w:r>
                </w:p>
                <w:p w:rsidR="00667170" w:rsidRPr="007C4468" w:rsidRDefault="00667170" w:rsidP="00EE53EA">
                  <w:pPr>
                    <w:jc w:val="center"/>
                    <w:rPr>
                      <w:rFonts w:asciiTheme="majorHAnsi" w:hAnsiTheme="majorHAnsi"/>
                      <w:b/>
                      <w:lang w:val="bg-BG"/>
                    </w:rPr>
                  </w:pPr>
                </w:p>
              </w:tc>
              <w:tc>
                <w:tcPr>
                  <w:tcW w:w="1276" w:type="dxa"/>
                </w:tcPr>
                <w:p w:rsidR="00667170" w:rsidRPr="007C4468" w:rsidRDefault="00667170" w:rsidP="00EE53EA">
                  <w:pPr>
                    <w:rPr>
                      <w:rFonts w:asciiTheme="majorHAnsi" w:hAnsiTheme="majorHAnsi"/>
                      <w:b/>
                      <w:sz w:val="18"/>
                      <w:szCs w:val="18"/>
                      <w:lang w:val="bg-BG"/>
                    </w:rPr>
                  </w:pPr>
                  <w:r w:rsidRPr="007C4468">
                    <w:rPr>
                      <w:rFonts w:asciiTheme="majorHAnsi" w:hAnsiTheme="majorHAnsi"/>
                      <w:b/>
                      <w:sz w:val="18"/>
                      <w:szCs w:val="18"/>
                      <w:lang w:val="bg-BG"/>
                    </w:rPr>
                    <w:t>SA.42388</w:t>
                  </w:r>
                  <w:r w:rsidRPr="007C4468">
                    <w:rPr>
                      <w:rStyle w:val="FootnoteReference"/>
                      <w:rFonts w:asciiTheme="majorHAnsi" w:hAnsiTheme="majorHAnsi"/>
                      <w:b/>
                      <w:sz w:val="18"/>
                      <w:szCs w:val="18"/>
                      <w:lang w:val="bg-BG"/>
                    </w:rPr>
                    <w:footnoteReference w:id="19"/>
                  </w:r>
                </w:p>
              </w:tc>
              <w:tc>
                <w:tcPr>
                  <w:tcW w:w="2702" w:type="dxa"/>
                </w:tcPr>
                <w:p w:rsidR="00667170" w:rsidRPr="007C4468" w:rsidRDefault="00667170" w:rsidP="00F27442">
                  <w:pPr>
                    <w:jc w:val="center"/>
                    <w:rPr>
                      <w:rFonts w:asciiTheme="majorHAnsi" w:hAnsiTheme="majorHAnsi"/>
                      <w:sz w:val="18"/>
                      <w:szCs w:val="18"/>
                      <w:lang w:val="bg-BG"/>
                    </w:rPr>
                  </w:pPr>
                  <w:r w:rsidRPr="007C4468">
                    <w:rPr>
                      <w:rFonts w:asciiTheme="majorHAnsi" w:hAnsiTheme="majorHAnsi"/>
                      <w:sz w:val="18"/>
                      <w:szCs w:val="18"/>
                      <w:lang w:val="bg-BG"/>
                    </w:rPr>
                    <w:t>Мярка за подкрепа на интермодалния транспорт по водни пътища в региона Брюксел-столица за периода 2016-2020</w:t>
                  </w:r>
                </w:p>
                <w:p w:rsidR="00667170" w:rsidRPr="007C4468" w:rsidRDefault="00667170" w:rsidP="00EE53EA">
                  <w:pPr>
                    <w:jc w:val="center"/>
                    <w:rPr>
                      <w:rFonts w:asciiTheme="majorHAnsi" w:hAnsiTheme="majorHAnsi"/>
                      <w:sz w:val="18"/>
                      <w:szCs w:val="18"/>
                      <w:lang w:val="bg-BG"/>
                    </w:rPr>
                  </w:pPr>
                </w:p>
              </w:tc>
              <w:tc>
                <w:tcPr>
                  <w:tcW w:w="1621" w:type="dxa"/>
                </w:tcPr>
                <w:p w:rsidR="00667170" w:rsidRPr="007C4468" w:rsidRDefault="00667170" w:rsidP="00EE53EA">
                  <w:pPr>
                    <w:jc w:val="center"/>
                    <w:rPr>
                      <w:rFonts w:asciiTheme="majorHAnsi" w:hAnsiTheme="majorHAnsi"/>
                      <w:sz w:val="18"/>
                      <w:szCs w:val="18"/>
                      <w:lang w:val="bg-BG"/>
                    </w:rPr>
                  </w:pPr>
                  <w:r w:rsidRPr="007C4468">
                    <w:rPr>
                      <w:rFonts w:asciiTheme="majorHAnsi" w:hAnsiTheme="majorHAnsi"/>
                      <w:sz w:val="18"/>
                      <w:szCs w:val="18"/>
                      <w:lang w:val="bg-BG"/>
                    </w:rPr>
                    <w:t>Секторно развитие</w:t>
                  </w:r>
                </w:p>
              </w:tc>
              <w:tc>
                <w:tcPr>
                  <w:tcW w:w="1267" w:type="dxa"/>
                </w:tcPr>
                <w:p w:rsidR="00667170" w:rsidRPr="007C4468" w:rsidRDefault="00667170" w:rsidP="005E21C9">
                  <w:pPr>
                    <w:jc w:val="center"/>
                    <w:rPr>
                      <w:rFonts w:asciiTheme="majorHAnsi" w:hAnsiTheme="majorHAnsi"/>
                      <w:sz w:val="18"/>
                      <w:szCs w:val="18"/>
                      <w:lang w:val="bg-BG"/>
                    </w:rPr>
                  </w:pPr>
                  <w:r w:rsidRPr="007C4468">
                    <w:rPr>
                      <w:rFonts w:asciiTheme="majorHAnsi" w:hAnsiTheme="majorHAnsi"/>
                      <w:sz w:val="18"/>
                      <w:szCs w:val="18"/>
                      <w:lang w:val="bg-BG"/>
                    </w:rPr>
                    <w:t>14.09.2015</w:t>
                  </w:r>
                </w:p>
              </w:tc>
            </w:tr>
            <w:tr w:rsidR="00667170" w:rsidRPr="007C4468" w:rsidTr="00471662">
              <w:trPr>
                <w:trHeight w:val="641"/>
              </w:trPr>
              <w:tc>
                <w:tcPr>
                  <w:tcW w:w="1446" w:type="dxa"/>
                </w:tcPr>
                <w:p w:rsidR="00667170" w:rsidRPr="007C4468" w:rsidDel="004627DA" w:rsidRDefault="00667170" w:rsidP="00EE53EA">
                  <w:pPr>
                    <w:jc w:val="center"/>
                    <w:rPr>
                      <w:rFonts w:asciiTheme="majorHAnsi" w:hAnsiTheme="majorHAnsi"/>
                      <w:sz w:val="18"/>
                      <w:szCs w:val="18"/>
                      <w:lang w:val="bg-BG"/>
                    </w:rPr>
                  </w:pPr>
                  <w:r w:rsidRPr="007C4468">
                    <w:rPr>
                      <w:rFonts w:asciiTheme="majorHAnsi" w:hAnsiTheme="majorHAnsi"/>
                      <w:b/>
                      <w:lang w:val="bg-BG"/>
                    </w:rPr>
                    <w:t>България</w:t>
                  </w:r>
                </w:p>
              </w:tc>
              <w:tc>
                <w:tcPr>
                  <w:tcW w:w="1276" w:type="dxa"/>
                </w:tcPr>
                <w:p w:rsidR="00667170" w:rsidRPr="007C4468" w:rsidDel="004627DA" w:rsidRDefault="00667170" w:rsidP="00EE53EA">
                  <w:pPr>
                    <w:rPr>
                      <w:rFonts w:asciiTheme="majorHAnsi" w:hAnsiTheme="majorHAnsi"/>
                      <w:b/>
                      <w:sz w:val="18"/>
                      <w:szCs w:val="18"/>
                      <w:lang w:val="bg-BG"/>
                    </w:rPr>
                  </w:pPr>
                  <w:r w:rsidRPr="007C4468">
                    <w:rPr>
                      <w:rFonts w:asciiTheme="majorHAnsi" w:hAnsiTheme="majorHAnsi"/>
                      <w:b/>
                      <w:sz w:val="18"/>
                      <w:szCs w:val="18"/>
                      <w:lang w:val="bg-BG"/>
                    </w:rPr>
                    <w:t>SA.39869</w:t>
                  </w:r>
                  <w:r w:rsidRPr="007C4468">
                    <w:rPr>
                      <w:rStyle w:val="FootnoteReference"/>
                      <w:rFonts w:asciiTheme="majorHAnsi" w:hAnsiTheme="majorHAnsi"/>
                      <w:b/>
                      <w:sz w:val="18"/>
                      <w:szCs w:val="18"/>
                      <w:lang w:val="bg-BG"/>
                    </w:rPr>
                    <w:footnoteReference w:id="20"/>
                  </w:r>
                </w:p>
              </w:tc>
              <w:tc>
                <w:tcPr>
                  <w:tcW w:w="2702" w:type="dxa"/>
                </w:tcPr>
                <w:p w:rsidR="00667170" w:rsidRPr="007C4468" w:rsidDel="004627DA" w:rsidRDefault="00667170" w:rsidP="009C59C5">
                  <w:pPr>
                    <w:jc w:val="center"/>
                    <w:rPr>
                      <w:rFonts w:asciiTheme="majorHAnsi" w:hAnsiTheme="majorHAnsi"/>
                      <w:sz w:val="18"/>
                      <w:szCs w:val="18"/>
                      <w:lang w:val="bg-BG"/>
                    </w:rPr>
                  </w:pPr>
                  <w:r w:rsidRPr="007C4468">
                    <w:rPr>
                      <w:rFonts w:asciiTheme="majorHAnsi" w:hAnsiTheme="majorHAnsi"/>
                      <w:sz w:val="18"/>
                      <w:szCs w:val="18"/>
                      <w:lang w:val="bg-BG"/>
                    </w:rPr>
                    <w:t>Схема за освобождаване от данък печалба</w:t>
                  </w:r>
                </w:p>
              </w:tc>
              <w:tc>
                <w:tcPr>
                  <w:tcW w:w="1621" w:type="dxa"/>
                </w:tcPr>
                <w:p w:rsidR="00667170" w:rsidRPr="007C4468" w:rsidDel="004627DA" w:rsidRDefault="00667170" w:rsidP="00EE53EA">
                  <w:pPr>
                    <w:jc w:val="center"/>
                    <w:rPr>
                      <w:rFonts w:asciiTheme="majorHAnsi" w:hAnsiTheme="majorHAnsi"/>
                      <w:sz w:val="18"/>
                      <w:szCs w:val="18"/>
                      <w:lang w:val="bg-BG"/>
                    </w:rPr>
                  </w:pPr>
                  <w:r w:rsidRPr="007C4468">
                    <w:rPr>
                      <w:rFonts w:asciiTheme="majorHAnsi" w:hAnsiTheme="majorHAnsi"/>
                      <w:sz w:val="18"/>
                      <w:szCs w:val="18"/>
                      <w:lang w:val="bg-BG"/>
                    </w:rPr>
                    <w:t>Регионално развитие</w:t>
                  </w:r>
                </w:p>
              </w:tc>
              <w:tc>
                <w:tcPr>
                  <w:tcW w:w="1267" w:type="dxa"/>
                </w:tcPr>
                <w:p w:rsidR="00667170" w:rsidRPr="007C4468" w:rsidDel="004627DA" w:rsidRDefault="00667170" w:rsidP="005E21C9">
                  <w:pPr>
                    <w:jc w:val="center"/>
                    <w:rPr>
                      <w:rFonts w:asciiTheme="majorHAnsi" w:hAnsiTheme="majorHAnsi"/>
                      <w:sz w:val="18"/>
                      <w:szCs w:val="18"/>
                      <w:lang w:val="bg-BG"/>
                    </w:rPr>
                  </w:pPr>
                  <w:r w:rsidRPr="007C4468">
                    <w:rPr>
                      <w:rFonts w:asciiTheme="majorHAnsi" w:hAnsiTheme="majorHAnsi"/>
                      <w:sz w:val="18"/>
                      <w:szCs w:val="18"/>
                      <w:lang w:val="bg-BG"/>
                    </w:rPr>
                    <w:t>14.09.2015</w:t>
                  </w:r>
                </w:p>
              </w:tc>
            </w:tr>
            <w:tr w:rsidR="00667170" w:rsidRPr="007C4468" w:rsidTr="00471662">
              <w:trPr>
                <w:trHeight w:val="641"/>
              </w:trPr>
              <w:tc>
                <w:tcPr>
                  <w:tcW w:w="1446" w:type="dxa"/>
                </w:tcPr>
                <w:p w:rsidR="00667170" w:rsidRPr="007C4468" w:rsidRDefault="00667170" w:rsidP="00EE53EA">
                  <w:pPr>
                    <w:jc w:val="center"/>
                    <w:rPr>
                      <w:rFonts w:asciiTheme="majorHAnsi" w:hAnsiTheme="majorHAnsi"/>
                      <w:b/>
                      <w:lang w:val="bg-BG"/>
                    </w:rPr>
                  </w:pPr>
                  <w:r w:rsidRPr="007C4468">
                    <w:rPr>
                      <w:rFonts w:asciiTheme="majorHAnsi" w:hAnsiTheme="majorHAnsi"/>
                      <w:b/>
                      <w:lang w:val="bg-BG"/>
                    </w:rPr>
                    <w:t>Испания</w:t>
                  </w:r>
                </w:p>
              </w:tc>
              <w:tc>
                <w:tcPr>
                  <w:tcW w:w="1276" w:type="dxa"/>
                </w:tcPr>
                <w:p w:rsidR="00667170" w:rsidRPr="007C4468" w:rsidRDefault="00667170" w:rsidP="00ED0450">
                  <w:pPr>
                    <w:rPr>
                      <w:rFonts w:asciiTheme="majorHAnsi" w:hAnsiTheme="majorHAnsi"/>
                      <w:b/>
                      <w:sz w:val="18"/>
                      <w:szCs w:val="18"/>
                      <w:lang w:val="bg-BG"/>
                    </w:rPr>
                  </w:pPr>
                  <w:r w:rsidRPr="007C4468">
                    <w:rPr>
                      <w:rFonts w:asciiTheme="majorHAnsi" w:hAnsiTheme="majorHAnsi"/>
                      <w:b/>
                      <w:sz w:val="18"/>
                      <w:szCs w:val="18"/>
                      <w:lang w:val="bg-BG"/>
                    </w:rPr>
                    <w:t>SA.41620</w:t>
                  </w:r>
                  <w:r w:rsidRPr="007C4468">
                    <w:rPr>
                      <w:rStyle w:val="FootnoteReference"/>
                      <w:rFonts w:asciiTheme="majorHAnsi" w:hAnsiTheme="majorHAnsi"/>
                      <w:b/>
                      <w:sz w:val="18"/>
                      <w:szCs w:val="18"/>
                      <w:lang w:val="bg-BG"/>
                    </w:rPr>
                    <w:footnoteReference w:id="21"/>
                  </w:r>
                </w:p>
              </w:tc>
              <w:tc>
                <w:tcPr>
                  <w:tcW w:w="2702" w:type="dxa"/>
                </w:tcPr>
                <w:p w:rsidR="00667170" w:rsidRPr="007C4468" w:rsidDel="004627DA" w:rsidRDefault="00667170" w:rsidP="009C59C5">
                  <w:pPr>
                    <w:jc w:val="center"/>
                    <w:rPr>
                      <w:rFonts w:asciiTheme="majorHAnsi" w:hAnsiTheme="majorHAnsi"/>
                      <w:sz w:val="18"/>
                      <w:szCs w:val="18"/>
                      <w:lang w:val="bg-BG"/>
                    </w:rPr>
                  </w:pPr>
                  <w:r w:rsidRPr="007C4468">
                    <w:rPr>
                      <w:rFonts w:asciiTheme="majorHAnsi" w:hAnsiTheme="majorHAnsi"/>
                      <w:sz w:val="18"/>
                      <w:szCs w:val="18"/>
                      <w:lang w:val="bg-BG"/>
                    </w:rPr>
                    <w:t>Помощ за изграждането на морска магистрала между пристанищата Algeciras y Vigo в Испания и Havre and Nantes-Saint Nazaire във Франция</w:t>
                  </w:r>
                </w:p>
              </w:tc>
              <w:tc>
                <w:tcPr>
                  <w:tcW w:w="1621" w:type="dxa"/>
                </w:tcPr>
                <w:p w:rsidR="00667170" w:rsidRPr="007C4468" w:rsidDel="004627DA" w:rsidRDefault="00667170" w:rsidP="00EE53EA">
                  <w:pPr>
                    <w:jc w:val="center"/>
                    <w:rPr>
                      <w:rFonts w:asciiTheme="majorHAnsi" w:hAnsiTheme="majorHAnsi"/>
                      <w:sz w:val="18"/>
                      <w:szCs w:val="18"/>
                      <w:lang w:val="bg-BG"/>
                    </w:rPr>
                  </w:pPr>
                  <w:r w:rsidRPr="007C4468">
                    <w:rPr>
                      <w:rFonts w:asciiTheme="majorHAnsi" w:hAnsiTheme="majorHAnsi"/>
                      <w:sz w:val="18"/>
                      <w:szCs w:val="18"/>
                      <w:lang w:val="bg-BG"/>
                    </w:rPr>
                    <w:t>Секторно развитие</w:t>
                  </w:r>
                </w:p>
              </w:tc>
              <w:tc>
                <w:tcPr>
                  <w:tcW w:w="1267" w:type="dxa"/>
                </w:tcPr>
                <w:p w:rsidR="00667170" w:rsidRPr="007C4468" w:rsidDel="004627DA" w:rsidRDefault="00667170" w:rsidP="005E21C9">
                  <w:pPr>
                    <w:jc w:val="center"/>
                    <w:rPr>
                      <w:rFonts w:asciiTheme="majorHAnsi" w:hAnsiTheme="majorHAnsi"/>
                      <w:sz w:val="18"/>
                      <w:szCs w:val="18"/>
                      <w:lang w:val="bg-BG"/>
                    </w:rPr>
                  </w:pPr>
                  <w:r w:rsidRPr="007C4468">
                    <w:rPr>
                      <w:rFonts w:asciiTheme="majorHAnsi" w:hAnsiTheme="majorHAnsi"/>
                      <w:sz w:val="18"/>
                      <w:szCs w:val="18"/>
                      <w:lang w:val="bg-BG"/>
                    </w:rPr>
                    <w:t>17.09.2015</w:t>
                  </w:r>
                </w:p>
              </w:tc>
            </w:tr>
          </w:tbl>
          <w:p w:rsidR="00CD125E" w:rsidRDefault="00CD125E" w:rsidP="00CD125E">
            <w:pPr>
              <w:pStyle w:val="ListParagraph"/>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69247B" w:rsidRPr="007C4468" w:rsidRDefault="0069247B" w:rsidP="0069247B">
            <w:pPr>
              <w:pStyle w:val="ListParagraph"/>
              <w:numPr>
                <w:ilvl w:val="0"/>
                <w:numId w:val="12"/>
              </w:num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Линковете към докладите на посочените дела подлежат на бъдеща актуализация до официалното публикуване на делата.</w:t>
            </w:r>
          </w:p>
          <w:p w:rsidR="00B36B71" w:rsidRPr="007C4468" w:rsidRDefault="00B36B71"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B36B71" w:rsidRPr="007C4468" w:rsidRDefault="00B36B71" w:rsidP="00B36B71">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планове за </w:t>
            </w:r>
            <w:r w:rsidR="00130D5C"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последваща оценка на въздействието, </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30D5C"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одобрени от</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Европейската комисия</w:t>
            </w:r>
            <w:r w:rsidR="00E2630C"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по ОРГО (чл. 1, пар. 2, буква а) от ОРГО)</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130D5C" w:rsidRPr="007C4468" w:rsidTr="00442E20">
              <w:trPr>
                <w:trHeight w:val="642"/>
              </w:trPr>
              <w:tc>
                <w:tcPr>
                  <w:tcW w:w="1446" w:type="dxa"/>
                  <w:shd w:val="clear" w:color="auto" w:fill="DBE5F1" w:themeFill="accent1" w:themeFillTint="33"/>
                  <w:vAlign w:val="center"/>
                </w:tcPr>
                <w:p w:rsidR="00130D5C" w:rsidRPr="007C4468" w:rsidRDefault="00130D5C" w:rsidP="00442E20">
                  <w:pPr>
                    <w:jc w:val="center"/>
                    <w:rPr>
                      <w:rFonts w:asciiTheme="majorHAnsi" w:hAnsiTheme="majorHAnsi"/>
                      <w:b/>
                      <w:sz w:val="18"/>
                      <w:szCs w:val="18"/>
                      <w:lang w:val="bg-BG"/>
                    </w:rPr>
                  </w:pPr>
                  <w:r w:rsidRPr="007C4468">
                    <w:rPr>
                      <w:rFonts w:asciiTheme="majorHAnsi" w:hAnsiTheme="majorHAnsi"/>
                      <w:b/>
                      <w:sz w:val="18"/>
                      <w:szCs w:val="18"/>
                      <w:lang w:val="bg-BG"/>
                    </w:rPr>
                    <w:t>Държава</w:t>
                  </w:r>
                </w:p>
              </w:tc>
              <w:tc>
                <w:tcPr>
                  <w:tcW w:w="1276" w:type="dxa"/>
                  <w:shd w:val="clear" w:color="auto" w:fill="DBE5F1" w:themeFill="accent1" w:themeFillTint="33"/>
                  <w:vAlign w:val="center"/>
                </w:tcPr>
                <w:p w:rsidR="00130D5C" w:rsidRPr="007C4468" w:rsidRDefault="00130D5C" w:rsidP="00442E20">
                  <w:pPr>
                    <w:jc w:val="center"/>
                    <w:rPr>
                      <w:rFonts w:asciiTheme="majorHAnsi" w:hAnsiTheme="majorHAnsi"/>
                      <w:b/>
                      <w:sz w:val="18"/>
                      <w:szCs w:val="18"/>
                      <w:lang w:val="bg-BG"/>
                    </w:rPr>
                  </w:pPr>
                  <w:r w:rsidRPr="007C4468">
                    <w:rPr>
                      <w:rFonts w:asciiTheme="majorHAnsi" w:hAnsiTheme="majorHAnsi"/>
                      <w:b/>
                      <w:sz w:val="18"/>
                      <w:szCs w:val="18"/>
                      <w:lang w:val="bg-BG"/>
                    </w:rPr>
                    <w:t>№ на дело</w:t>
                  </w:r>
                </w:p>
              </w:tc>
              <w:tc>
                <w:tcPr>
                  <w:tcW w:w="2702" w:type="dxa"/>
                  <w:shd w:val="clear" w:color="auto" w:fill="DBE5F1" w:themeFill="accent1" w:themeFillTint="33"/>
                </w:tcPr>
                <w:p w:rsidR="00130D5C" w:rsidRPr="007C4468" w:rsidRDefault="00130D5C" w:rsidP="00442E20">
                  <w:pPr>
                    <w:jc w:val="center"/>
                    <w:rPr>
                      <w:rFonts w:asciiTheme="majorHAnsi" w:hAnsiTheme="majorHAnsi"/>
                      <w:b/>
                      <w:sz w:val="18"/>
                      <w:szCs w:val="18"/>
                      <w:lang w:val="bg-BG"/>
                    </w:rPr>
                  </w:pPr>
                </w:p>
                <w:p w:rsidR="00130D5C" w:rsidRPr="007C4468" w:rsidRDefault="00130D5C" w:rsidP="00442E20">
                  <w:pPr>
                    <w:jc w:val="center"/>
                    <w:rPr>
                      <w:rFonts w:asciiTheme="majorHAnsi" w:hAnsiTheme="majorHAnsi"/>
                      <w:b/>
                      <w:sz w:val="18"/>
                      <w:szCs w:val="18"/>
                      <w:lang w:val="bg-BG"/>
                    </w:rPr>
                  </w:pPr>
                  <w:r w:rsidRPr="007C4468">
                    <w:rPr>
                      <w:rFonts w:asciiTheme="majorHAnsi" w:hAnsiTheme="majorHAnsi"/>
                      <w:b/>
                      <w:sz w:val="18"/>
                      <w:szCs w:val="18"/>
                      <w:lang w:val="bg-BG"/>
                    </w:rPr>
                    <w:t>Заглавие</w:t>
                  </w:r>
                </w:p>
              </w:tc>
              <w:tc>
                <w:tcPr>
                  <w:tcW w:w="1621" w:type="dxa"/>
                  <w:shd w:val="clear" w:color="auto" w:fill="DBE5F1" w:themeFill="accent1" w:themeFillTint="33"/>
                  <w:vAlign w:val="center"/>
                </w:tcPr>
                <w:p w:rsidR="00130D5C" w:rsidRPr="007C4468" w:rsidRDefault="00130D5C" w:rsidP="00442E20">
                  <w:pPr>
                    <w:jc w:val="center"/>
                    <w:rPr>
                      <w:rFonts w:asciiTheme="majorHAnsi" w:hAnsiTheme="majorHAnsi"/>
                      <w:b/>
                      <w:sz w:val="18"/>
                      <w:szCs w:val="18"/>
                      <w:lang w:val="bg-BG"/>
                    </w:rPr>
                  </w:pPr>
                  <w:r w:rsidRPr="007C4468">
                    <w:rPr>
                      <w:rFonts w:asciiTheme="majorHAnsi" w:hAnsiTheme="majorHAnsi"/>
                      <w:b/>
                      <w:sz w:val="18"/>
                      <w:szCs w:val="18"/>
                      <w:lang w:val="bg-BG"/>
                    </w:rPr>
                    <w:t>Цел</w:t>
                  </w:r>
                </w:p>
              </w:tc>
              <w:tc>
                <w:tcPr>
                  <w:tcW w:w="1267" w:type="dxa"/>
                  <w:shd w:val="clear" w:color="auto" w:fill="DBE5F1" w:themeFill="accent1" w:themeFillTint="33"/>
                  <w:vAlign w:val="center"/>
                </w:tcPr>
                <w:p w:rsidR="00130D5C" w:rsidRPr="007C4468" w:rsidRDefault="00130D5C" w:rsidP="00442E20">
                  <w:pPr>
                    <w:jc w:val="center"/>
                    <w:rPr>
                      <w:rFonts w:asciiTheme="majorHAnsi" w:hAnsiTheme="majorHAnsi"/>
                      <w:b/>
                      <w:sz w:val="18"/>
                      <w:szCs w:val="18"/>
                      <w:lang w:val="bg-BG"/>
                    </w:rPr>
                  </w:pPr>
                  <w:r w:rsidRPr="007C4468">
                    <w:rPr>
                      <w:rFonts w:asciiTheme="majorHAnsi" w:hAnsiTheme="majorHAnsi"/>
                      <w:b/>
                      <w:sz w:val="18"/>
                      <w:szCs w:val="18"/>
                      <w:lang w:val="bg-BG"/>
                    </w:rPr>
                    <w:t>Дата на решението</w:t>
                  </w:r>
                </w:p>
              </w:tc>
            </w:tr>
            <w:tr w:rsidR="00130D5C" w:rsidRPr="007C4468" w:rsidTr="00442E20">
              <w:trPr>
                <w:trHeight w:val="624"/>
              </w:trPr>
              <w:tc>
                <w:tcPr>
                  <w:tcW w:w="1446" w:type="dxa"/>
                </w:tcPr>
                <w:p w:rsidR="00130D5C" w:rsidRPr="007C4468" w:rsidRDefault="00275D09" w:rsidP="00442E20">
                  <w:pPr>
                    <w:jc w:val="center"/>
                    <w:rPr>
                      <w:rFonts w:asciiTheme="majorHAnsi" w:hAnsiTheme="majorHAnsi"/>
                      <w:b/>
                      <w:lang w:val="bg-BG"/>
                    </w:rPr>
                  </w:pPr>
                  <w:r w:rsidRPr="007C4468">
                    <w:rPr>
                      <w:rFonts w:asciiTheme="majorHAnsi" w:hAnsiTheme="majorHAnsi"/>
                      <w:b/>
                      <w:lang w:val="bg-BG"/>
                    </w:rPr>
                    <w:t>Франция</w:t>
                  </w:r>
                </w:p>
                <w:p w:rsidR="00130D5C" w:rsidRPr="007C4468" w:rsidRDefault="00130D5C" w:rsidP="00442E20">
                  <w:pPr>
                    <w:jc w:val="center"/>
                    <w:rPr>
                      <w:rFonts w:asciiTheme="majorHAnsi" w:hAnsiTheme="majorHAnsi"/>
                      <w:b/>
                      <w:lang w:val="bg-BG"/>
                    </w:rPr>
                  </w:pPr>
                </w:p>
              </w:tc>
              <w:tc>
                <w:tcPr>
                  <w:tcW w:w="1276" w:type="dxa"/>
                </w:tcPr>
                <w:p w:rsidR="00130D5C" w:rsidRPr="007C4468" w:rsidRDefault="00130D5C" w:rsidP="00130D5C">
                  <w:pPr>
                    <w:pStyle w:val="Default"/>
                    <w:jc w:val="center"/>
                    <w:rPr>
                      <w:rFonts w:asciiTheme="majorHAnsi" w:hAnsiTheme="majorHAnsi"/>
                      <w:b/>
                      <w:sz w:val="18"/>
                      <w:szCs w:val="18"/>
                      <w:highlight w:val="yellow"/>
                    </w:rPr>
                  </w:pPr>
                  <w:r w:rsidRPr="007C4468">
                    <w:rPr>
                      <w:rFonts w:asciiTheme="majorHAnsi" w:eastAsia="Times New Roman" w:hAnsiTheme="majorHAnsi" w:cs="Times New Roman"/>
                      <w:b/>
                      <w:color w:val="auto"/>
                      <w:sz w:val="18"/>
                      <w:szCs w:val="18"/>
                      <w:lang w:eastAsia="bg-BG"/>
                    </w:rPr>
                    <w:t>SA.40266</w:t>
                  </w:r>
                  <w:r w:rsidRPr="007C4468">
                    <w:rPr>
                      <w:rStyle w:val="FootnoteReference"/>
                      <w:rFonts w:asciiTheme="majorHAnsi" w:hAnsiTheme="majorHAnsi"/>
                      <w:b/>
                      <w:sz w:val="18"/>
                      <w:szCs w:val="18"/>
                    </w:rPr>
                    <w:footnoteReference w:id="22"/>
                  </w:r>
                </w:p>
              </w:tc>
              <w:tc>
                <w:tcPr>
                  <w:tcW w:w="2702" w:type="dxa"/>
                </w:tcPr>
                <w:p w:rsidR="005C5A77" w:rsidRPr="007C4468" w:rsidRDefault="005C5A77" w:rsidP="00F1795C">
                  <w:pPr>
                    <w:jc w:val="center"/>
                    <w:rPr>
                      <w:rFonts w:asciiTheme="majorHAnsi" w:hAnsiTheme="majorHAnsi"/>
                      <w:sz w:val="18"/>
                      <w:szCs w:val="18"/>
                      <w:highlight w:val="yellow"/>
                      <w:lang w:val="bg-BG"/>
                    </w:rPr>
                  </w:pPr>
                  <w:r w:rsidRPr="007C4468">
                    <w:rPr>
                      <w:rFonts w:asciiTheme="majorHAnsi" w:hAnsiTheme="majorHAnsi"/>
                      <w:sz w:val="18"/>
                      <w:szCs w:val="18"/>
                      <w:lang w:val="bg-BG"/>
                    </w:rPr>
                    <w:t>Схема за помощ ADEME - план за оценка</w:t>
                  </w:r>
                </w:p>
              </w:tc>
              <w:tc>
                <w:tcPr>
                  <w:tcW w:w="1621" w:type="dxa"/>
                </w:tcPr>
                <w:p w:rsidR="00130D5C" w:rsidRPr="007C4468" w:rsidRDefault="0034302E" w:rsidP="00442E20">
                  <w:pPr>
                    <w:jc w:val="center"/>
                    <w:rPr>
                      <w:rFonts w:asciiTheme="majorHAnsi" w:hAnsiTheme="majorHAnsi"/>
                      <w:sz w:val="18"/>
                      <w:szCs w:val="18"/>
                      <w:highlight w:val="yellow"/>
                      <w:lang w:val="bg-BG"/>
                    </w:rPr>
                  </w:pPr>
                  <w:r w:rsidRPr="007C4468">
                    <w:rPr>
                      <w:rFonts w:asciiTheme="majorHAnsi" w:hAnsiTheme="majorHAnsi"/>
                      <w:sz w:val="18"/>
                      <w:szCs w:val="18"/>
                      <w:lang w:val="bg-BG"/>
                    </w:rPr>
                    <w:t>Научни изследвания и развитие</w:t>
                  </w:r>
                </w:p>
              </w:tc>
              <w:tc>
                <w:tcPr>
                  <w:tcW w:w="1267" w:type="dxa"/>
                </w:tcPr>
                <w:p w:rsidR="00130D5C" w:rsidRPr="007C4468" w:rsidRDefault="0034302E" w:rsidP="00A85FC0">
                  <w:pPr>
                    <w:jc w:val="center"/>
                    <w:rPr>
                      <w:rFonts w:asciiTheme="majorHAnsi" w:hAnsiTheme="majorHAnsi"/>
                      <w:sz w:val="18"/>
                      <w:szCs w:val="18"/>
                      <w:highlight w:val="yellow"/>
                      <w:lang w:val="bg-BG"/>
                    </w:rPr>
                  </w:pPr>
                  <w:r w:rsidRPr="007C4468">
                    <w:rPr>
                      <w:rFonts w:asciiTheme="majorHAnsi" w:hAnsiTheme="majorHAnsi"/>
                      <w:sz w:val="18"/>
                      <w:szCs w:val="18"/>
                      <w:lang w:val="bg-BG"/>
                    </w:rPr>
                    <w:t>04</w:t>
                  </w:r>
                  <w:r w:rsidR="00A85FC0" w:rsidRPr="007C4468">
                    <w:rPr>
                      <w:rFonts w:asciiTheme="majorHAnsi" w:hAnsiTheme="majorHAnsi"/>
                      <w:sz w:val="18"/>
                      <w:szCs w:val="18"/>
                      <w:lang w:val="bg-BG"/>
                    </w:rPr>
                    <w:t>.</w:t>
                  </w:r>
                  <w:r w:rsidRPr="007C4468">
                    <w:rPr>
                      <w:rFonts w:asciiTheme="majorHAnsi" w:hAnsiTheme="majorHAnsi"/>
                      <w:sz w:val="18"/>
                      <w:szCs w:val="18"/>
                      <w:lang w:val="bg-BG"/>
                    </w:rPr>
                    <w:t>08</w:t>
                  </w:r>
                  <w:r w:rsidR="00A85FC0" w:rsidRPr="007C4468">
                    <w:rPr>
                      <w:rFonts w:asciiTheme="majorHAnsi" w:hAnsiTheme="majorHAnsi"/>
                      <w:sz w:val="18"/>
                      <w:szCs w:val="18"/>
                      <w:lang w:val="bg-BG"/>
                    </w:rPr>
                    <w:t>.</w:t>
                  </w:r>
                  <w:r w:rsidRPr="007C4468">
                    <w:rPr>
                      <w:rFonts w:asciiTheme="majorHAnsi" w:hAnsiTheme="majorHAnsi"/>
                      <w:sz w:val="18"/>
                      <w:szCs w:val="18"/>
                      <w:lang w:val="bg-BG"/>
                    </w:rPr>
                    <w:t>2015</w:t>
                  </w:r>
                </w:p>
              </w:tc>
            </w:tr>
            <w:tr w:rsidR="00130D5C" w:rsidRPr="007C4468" w:rsidTr="00442E20">
              <w:trPr>
                <w:trHeight w:val="641"/>
              </w:trPr>
              <w:tc>
                <w:tcPr>
                  <w:tcW w:w="1446" w:type="dxa"/>
                </w:tcPr>
                <w:p w:rsidR="00275D09" w:rsidRPr="007C4468" w:rsidRDefault="00275D09" w:rsidP="00275D09">
                  <w:pPr>
                    <w:jc w:val="center"/>
                    <w:rPr>
                      <w:rFonts w:asciiTheme="majorHAnsi" w:hAnsiTheme="majorHAnsi"/>
                      <w:b/>
                      <w:lang w:val="bg-BG"/>
                    </w:rPr>
                  </w:pPr>
                  <w:r w:rsidRPr="007C4468">
                    <w:rPr>
                      <w:rFonts w:asciiTheme="majorHAnsi" w:hAnsiTheme="majorHAnsi"/>
                      <w:b/>
                      <w:lang w:val="bg-BG"/>
                    </w:rPr>
                    <w:t>Франция</w:t>
                  </w:r>
                </w:p>
                <w:p w:rsidR="00130D5C" w:rsidRPr="007C4468" w:rsidRDefault="00130D5C" w:rsidP="00442E20">
                  <w:pPr>
                    <w:jc w:val="center"/>
                    <w:rPr>
                      <w:rFonts w:asciiTheme="majorHAnsi" w:hAnsiTheme="majorHAnsi"/>
                      <w:b/>
                      <w:lang w:val="bg-BG"/>
                    </w:rPr>
                  </w:pPr>
                </w:p>
              </w:tc>
              <w:tc>
                <w:tcPr>
                  <w:tcW w:w="1276" w:type="dxa"/>
                </w:tcPr>
                <w:p w:rsidR="00130D5C" w:rsidRPr="007C4468" w:rsidRDefault="00130D5C" w:rsidP="00442E20">
                  <w:pPr>
                    <w:pStyle w:val="Default"/>
                    <w:jc w:val="center"/>
                    <w:rPr>
                      <w:rFonts w:asciiTheme="majorHAnsi" w:eastAsia="Times New Roman" w:hAnsiTheme="majorHAnsi" w:cs="Times New Roman"/>
                      <w:b/>
                      <w:color w:val="auto"/>
                      <w:sz w:val="18"/>
                      <w:szCs w:val="18"/>
                      <w:lang w:eastAsia="bg-BG"/>
                    </w:rPr>
                  </w:pPr>
                  <w:r w:rsidRPr="007C4468">
                    <w:rPr>
                      <w:rFonts w:asciiTheme="majorHAnsi" w:eastAsia="Times New Roman" w:hAnsiTheme="majorHAnsi" w:cs="Times New Roman"/>
                      <w:b/>
                      <w:color w:val="auto"/>
                      <w:sz w:val="18"/>
                      <w:szCs w:val="18"/>
                      <w:lang w:eastAsia="bg-BG"/>
                    </w:rPr>
                    <w:t>SA.41549</w:t>
                  </w:r>
                  <w:r w:rsidRPr="007C4468">
                    <w:rPr>
                      <w:rStyle w:val="FootnoteReference"/>
                      <w:rFonts w:asciiTheme="majorHAnsi" w:eastAsia="Times New Roman" w:hAnsiTheme="majorHAnsi" w:cs="Times New Roman"/>
                      <w:b/>
                      <w:color w:val="auto"/>
                      <w:sz w:val="18"/>
                      <w:szCs w:val="18"/>
                      <w:lang w:eastAsia="bg-BG"/>
                    </w:rPr>
                    <w:footnoteReference w:id="23"/>
                  </w:r>
                  <w:r w:rsidRPr="007C4468">
                    <w:rPr>
                      <w:rFonts w:asciiTheme="majorHAnsi" w:eastAsia="Times New Roman" w:hAnsiTheme="majorHAnsi" w:cs="Times New Roman"/>
                      <w:b/>
                      <w:color w:val="auto"/>
                      <w:sz w:val="18"/>
                      <w:szCs w:val="18"/>
                      <w:lang w:eastAsia="bg-BG"/>
                    </w:rPr>
                    <w:t xml:space="preserve"> </w:t>
                  </w:r>
                </w:p>
                <w:p w:rsidR="00130D5C" w:rsidRPr="007C4468" w:rsidRDefault="00130D5C" w:rsidP="00442E20">
                  <w:pPr>
                    <w:jc w:val="center"/>
                    <w:rPr>
                      <w:rFonts w:asciiTheme="majorHAnsi" w:hAnsiTheme="majorHAnsi"/>
                      <w:b/>
                      <w:sz w:val="18"/>
                      <w:szCs w:val="18"/>
                      <w:highlight w:val="yellow"/>
                      <w:lang w:val="bg-BG"/>
                    </w:rPr>
                  </w:pPr>
                </w:p>
              </w:tc>
              <w:tc>
                <w:tcPr>
                  <w:tcW w:w="2702" w:type="dxa"/>
                </w:tcPr>
                <w:p w:rsidR="005C5A77" w:rsidRPr="007C4468" w:rsidRDefault="0034302E" w:rsidP="009109F0">
                  <w:pPr>
                    <w:jc w:val="center"/>
                    <w:rPr>
                      <w:rFonts w:asciiTheme="majorHAnsi" w:hAnsiTheme="majorHAnsi"/>
                      <w:sz w:val="18"/>
                      <w:szCs w:val="18"/>
                      <w:lang w:val="bg-BG"/>
                    </w:rPr>
                  </w:pPr>
                  <w:r w:rsidRPr="007C4468">
                    <w:rPr>
                      <w:rFonts w:asciiTheme="majorHAnsi" w:hAnsiTheme="majorHAnsi"/>
                      <w:sz w:val="18"/>
                      <w:szCs w:val="18"/>
                      <w:lang w:val="bg-BG"/>
                    </w:rPr>
                    <w:t>План за оценка на</w:t>
                  </w:r>
                  <w:r w:rsidR="005C5A77" w:rsidRPr="007C4468">
                    <w:rPr>
                      <w:rFonts w:asciiTheme="majorHAnsi" w:hAnsiTheme="majorHAnsi"/>
                      <w:sz w:val="18"/>
                      <w:szCs w:val="18"/>
                      <w:lang w:val="bg-BG"/>
                    </w:rPr>
                    <w:t xml:space="preserve"> инвестиционна схема</w:t>
                  </w:r>
                  <w:r w:rsidRPr="007C4468">
                    <w:rPr>
                      <w:rFonts w:asciiTheme="majorHAnsi" w:hAnsiTheme="majorHAnsi"/>
                      <w:sz w:val="18"/>
                      <w:szCs w:val="18"/>
                      <w:lang w:val="bg-BG"/>
                    </w:rPr>
                    <w:t xml:space="preserve"> DOM </w:t>
                  </w:r>
                  <w:r w:rsidR="009109F0" w:rsidRPr="007C4468">
                    <w:rPr>
                      <w:rFonts w:asciiTheme="majorHAnsi" w:hAnsiTheme="majorHAnsi"/>
                      <w:sz w:val="18"/>
                      <w:szCs w:val="18"/>
                      <w:lang w:val="bg-BG"/>
                    </w:rPr>
                    <w:t>"Данъчна мярка за инвестиции в отвъдморските територии“ (производствени инвестиции)</w:t>
                  </w:r>
                </w:p>
              </w:tc>
              <w:tc>
                <w:tcPr>
                  <w:tcW w:w="1621" w:type="dxa"/>
                </w:tcPr>
                <w:p w:rsidR="00130D5C" w:rsidRPr="007C4468" w:rsidRDefault="0034302E" w:rsidP="00442E20">
                  <w:pPr>
                    <w:jc w:val="center"/>
                    <w:rPr>
                      <w:rFonts w:asciiTheme="majorHAnsi" w:hAnsiTheme="majorHAnsi"/>
                      <w:sz w:val="18"/>
                      <w:szCs w:val="18"/>
                      <w:lang w:val="bg-BG"/>
                    </w:rPr>
                  </w:pPr>
                  <w:r w:rsidRPr="007C4468">
                    <w:rPr>
                      <w:rFonts w:asciiTheme="majorHAnsi" w:hAnsiTheme="majorHAnsi"/>
                      <w:sz w:val="18"/>
                      <w:szCs w:val="18"/>
                      <w:lang w:val="bg-BG"/>
                    </w:rPr>
                    <w:t>Регионално развитие</w:t>
                  </w:r>
                </w:p>
              </w:tc>
              <w:tc>
                <w:tcPr>
                  <w:tcW w:w="1267" w:type="dxa"/>
                </w:tcPr>
                <w:p w:rsidR="00130D5C" w:rsidRPr="007C4468" w:rsidRDefault="0034302E" w:rsidP="00A85FC0">
                  <w:pPr>
                    <w:jc w:val="center"/>
                    <w:rPr>
                      <w:rFonts w:asciiTheme="majorHAnsi" w:hAnsiTheme="majorHAnsi"/>
                      <w:sz w:val="18"/>
                      <w:szCs w:val="18"/>
                      <w:lang w:val="bg-BG"/>
                    </w:rPr>
                  </w:pPr>
                  <w:r w:rsidRPr="007C4468">
                    <w:rPr>
                      <w:rFonts w:asciiTheme="majorHAnsi" w:hAnsiTheme="majorHAnsi"/>
                      <w:sz w:val="18"/>
                      <w:szCs w:val="18"/>
                      <w:lang w:val="bg-BG"/>
                    </w:rPr>
                    <w:t>04</w:t>
                  </w:r>
                  <w:r w:rsidR="00A85FC0" w:rsidRPr="007C4468">
                    <w:rPr>
                      <w:rFonts w:asciiTheme="majorHAnsi" w:hAnsiTheme="majorHAnsi"/>
                      <w:sz w:val="18"/>
                      <w:szCs w:val="18"/>
                      <w:lang w:val="bg-BG"/>
                    </w:rPr>
                    <w:t>.</w:t>
                  </w:r>
                  <w:r w:rsidRPr="007C4468">
                    <w:rPr>
                      <w:rFonts w:asciiTheme="majorHAnsi" w:hAnsiTheme="majorHAnsi"/>
                      <w:sz w:val="18"/>
                      <w:szCs w:val="18"/>
                      <w:lang w:val="bg-BG"/>
                    </w:rPr>
                    <w:t>08</w:t>
                  </w:r>
                  <w:r w:rsidR="00A85FC0" w:rsidRPr="007C4468">
                    <w:rPr>
                      <w:rFonts w:asciiTheme="majorHAnsi" w:hAnsiTheme="majorHAnsi"/>
                      <w:sz w:val="18"/>
                      <w:szCs w:val="18"/>
                      <w:lang w:val="bg-BG"/>
                    </w:rPr>
                    <w:t>.</w:t>
                  </w:r>
                  <w:r w:rsidRPr="007C4468">
                    <w:rPr>
                      <w:rFonts w:asciiTheme="majorHAnsi" w:hAnsiTheme="majorHAnsi"/>
                      <w:sz w:val="18"/>
                      <w:szCs w:val="18"/>
                      <w:lang w:val="bg-BG"/>
                    </w:rPr>
                    <w:t>2015</w:t>
                  </w:r>
                </w:p>
              </w:tc>
            </w:tr>
            <w:tr w:rsidR="00130D5C" w:rsidRPr="007C4468" w:rsidTr="00442E20">
              <w:trPr>
                <w:trHeight w:val="641"/>
              </w:trPr>
              <w:tc>
                <w:tcPr>
                  <w:tcW w:w="1446" w:type="dxa"/>
                </w:tcPr>
                <w:p w:rsidR="00130D5C" w:rsidRPr="007C4468" w:rsidRDefault="00275D09" w:rsidP="00130D5C">
                  <w:pPr>
                    <w:jc w:val="center"/>
                    <w:rPr>
                      <w:rFonts w:asciiTheme="majorHAnsi" w:hAnsiTheme="majorHAnsi"/>
                      <w:b/>
                      <w:lang w:val="bg-BG"/>
                    </w:rPr>
                  </w:pPr>
                  <w:r w:rsidRPr="007C4468">
                    <w:rPr>
                      <w:rFonts w:asciiTheme="majorHAnsi" w:hAnsiTheme="majorHAnsi"/>
                      <w:b/>
                      <w:lang w:val="bg-BG"/>
                    </w:rPr>
                    <w:t>Полша</w:t>
                  </w:r>
                </w:p>
                <w:p w:rsidR="00130D5C" w:rsidRPr="007C4468" w:rsidRDefault="00130D5C" w:rsidP="00442E20">
                  <w:pPr>
                    <w:jc w:val="center"/>
                    <w:rPr>
                      <w:rFonts w:asciiTheme="majorHAnsi" w:hAnsiTheme="majorHAnsi"/>
                      <w:b/>
                      <w:lang w:val="bg-BG"/>
                    </w:rPr>
                  </w:pPr>
                </w:p>
              </w:tc>
              <w:tc>
                <w:tcPr>
                  <w:tcW w:w="1276" w:type="dxa"/>
                </w:tcPr>
                <w:p w:rsidR="00130D5C" w:rsidRPr="007C4468" w:rsidRDefault="00130D5C" w:rsidP="00442E20">
                  <w:pPr>
                    <w:pStyle w:val="Default"/>
                    <w:jc w:val="center"/>
                    <w:rPr>
                      <w:rFonts w:asciiTheme="majorHAnsi" w:eastAsia="Times New Roman" w:hAnsiTheme="majorHAnsi" w:cs="Times New Roman"/>
                      <w:b/>
                      <w:color w:val="auto"/>
                      <w:sz w:val="18"/>
                      <w:szCs w:val="18"/>
                      <w:highlight w:val="yellow"/>
                      <w:lang w:eastAsia="bg-BG"/>
                    </w:rPr>
                  </w:pPr>
                  <w:r w:rsidRPr="007C4468">
                    <w:rPr>
                      <w:rFonts w:asciiTheme="majorHAnsi" w:eastAsia="Times New Roman" w:hAnsiTheme="majorHAnsi" w:cs="Times New Roman"/>
                      <w:b/>
                      <w:color w:val="auto"/>
                      <w:sz w:val="18"/>
                      <w:szCs w:val="18"/>
                      <w:lang w:eastAsia="bg-BG"/>
                    </w:rPr>
                    <w:t>SA.41471</w:t>
                  </w:r>
                  <w:r w:rsidRPr="007C4468">
                    <w:rPr>
                      <w:rStyle w:val="FootnoteReference"/>
                      <w:rFonts w:asciiTheme="majorHAnsi" w:eastAsia="Times New Roman" w:hAnsiTheme="majorHAnsi" w:cs="Times New Roman"/>
                      <w:b/>
                      <w:color w:val="auto"/>
                      <w:sz w:val="18"/>
                      <w:szCs w:val="18"/>
                      <w:lang w:eastAsia="bg-BG"/>
                    </w:rPr>
                    <w:footnoteReference w:id="24"/>
                  </w:r>
                  <w:r w:rsidRPr="007C4468">
                    <w:rPr>
                      <w:rFonts w:asciiTheme="majorHAnsi" w:eastAsia="Times New Roman" w:hAnsiTheme="majorHAnsi" w:cs="Times New Roman"/>
                      <w:b/>
                      <w:color w:val="auto"/>
                      <w:sz w:val="18"/>
                      <w:szCs w:val="18"/>
                      <w:lang w:eastAsia="bg-BG"/>
                    </w:rPr>
                    <w:t xml:space="preserve"> </w:t>
                  </w:r>
                </w:p>
                <w:p w:rsidR="00130D5C" w:rsidRPr="007C4468" w:rsidRDefault="00130D5C" w:rsidP="00442E20">
                  <w:pPr>
                    <w:rPr>
                      <w:rFonts w:asciiTheme="majorHAnsi" w:hAnsiTheme="majorHAnsi"/>
                      <w:sz w:val="18"/>
                      <w:szCs w:val="18"/>
                      <w:lang w:val="bg-BG"/>
                    </w:rPr>
                  </w:pPr>
                </w:p>
              </w:tc>
              <w:tc>
                <w:tcPr>
                  <w:tcW w:w="2702" w:type="dxa"/>
                </w:tcPr>
                <w:p w:rsidR="00130D5C" w:rsidRPr="007C4468" w:rsidRDefault="00F5791A" w:rsidP="00442E20">
                  <w:pPr>
                    <w:jc w:val="center"/>
                    <w:rPr>
                      <w:rFonts w:asciiTheme="majorHAnsi" w:hAnsiTheme="majorHAnsi"/>
                      <w:sz w:val="18"/>
                      <w:szCs w:val="18"/>
                      <w:lang w:val="bg-BG"/>
                    </w:rPr>
                  </w:pPr>
                  <w:r w:rsidRPr="007C4468">
                    <w:rPr>
                      <w:rFonts w:asciiTheme="majorHAnsi" w:hAnsiTheme="majorHAnsi"/>
                      <w:sz w:val="18"/>
                      <w:szCs w:val="18"/>
                      <w:lang w:val="bg-BG"/>
                    </w:rPr>
                    <w:t>Национален изследователски център и център за развитие</w:t>
                  </w:r>
                </w:p>
              </w:tc>
              <w:tc>
                <w:tcPr>
                  <w:tcW w:w="1621" w:type="dxa"/>
                </w:tcPr>
                <w:p w:rsidR="00130D5C" w:rsidRPr="007C4468" w:rsidRDefault="00F5791A" w:rsidP="003C1C42">
                  <w:pPr>
                    <w:jc w:val="center"/>
                    <w:rPr>
                      <w:rFonts w:asciiTheme="majorHAnsi" w:hAnsiTheme="majorHAnsi"/>
                      <w:sz w:val="18"/>
                      <w:szCs w:val="18"/>
                      <w:lang w:val="bg-BG"/>
                    </w:rPr>
                  </w:pPr>
                  <w:r w:rsidRPr="007C4468">
                    <w:rPr>
                      <w:rFonts w:asciiTheme="majorHAnsi" w:hAnsiTheme="majorHAnsi"/>
                      <w:sz w:val="18"/>
                      <w:szCs w:val="18"/>
                      <w:lang w:val="bg-BG"/>
                    </w:rPr>
                    <w:t>Помощ за научно</w:t>
                  </w:r>
                  <w:r w:rsidR="003C1C42" w:rsidRPr="007C4468">
                    <w:rPr>
                      <w:rFonts w:asciiTheme="majorHAnsi" w:hAnsiTheme="majorHAnsi"/>
                      <w:sz w:val="18"/>
                      <w:szCs w:val="18"/>
                      <w:lang w:val="bg-BG"/>
                    </w:rPr>
                    <w:t>-</w:t>
                  </w:r>
                  <w:r w:rsidRPr="007C4468">
                    <w:rPr>
                      <w:rFonts w:asciiTheme="majorHAnsi" w:hAnsiTheme="majorHAnsi"/>
                      <w:sz w:val="18"/>
                      <w:szCs w:val="18"/>
                      <w:lang w:val="bg-BG"/>
                    </w:rPr>
                    <w:t>изследователска и развойна дейност в сектора на рибарството и аквакултурите</w:t>
                  </w:r>
                </w:p>
              </w:tc>
              <w:tc>
                <w:tcPr>
                  <w:tcW w:w="1267" w:type="dxa"/>
                </w:tcPr>
                <w:p w:rsidR="00130D5C" w:rsidRPr="007C4468" w:rsidRDefault="00F5791A" w:rsidP="00A85FC0">
                  <w:pPr>
                    <w:jc w:val="center"/>
                    <w:rPr>
                      <w:rFonts w:asciiTheme="majorHAnsi" w:hAnsiTheme="majorHAnsi"/>
                      <w:sz w:val="18"/>
                      <w:szCs w:val="18"/>
                      <w:lang w:val="bg-BG"/>
                    </w:rPr>
                  </w:pPr>
                  <w:r w:rsidRPr="007C4468">
                    <w:rPr>
                      <w:rFonts w:asciiTheme="majorHAnsi" w:hAnsiTheme="majorHAnsi"/>
                      <w:sz w:val="18"/>
                      <w:szCs w:val="18"/>
                      <w:lang w:val="bg-BG"/>
                    </w:rPr>
                    <w:t>24</w:t>
                  </w:r>
                  <w:r w:rsidR="00A85FC0" w:rsidRPr="007C4468">
                    <w:rPr>
                      <w:rFonts w:asciiTheme="majorHAnsi" w:hAnsiTheme="majorHAnsi"/>
                      <w:sz w:val="18"/>
                      <w:szCs w:val="18"/>
                      <w:lang w:val="bg-BG"/>
                    </w:rPr>
                    <w:t>.</w:t>
                  </w:r>
                  <w:r w:rsidRPr="007C4468">
                    <w:rPr>
                      <w:rFonts w:asciiTheme="majorHAnsi" w:hAnsiTheme="majorHAnsi"/>
                      <w:sz w:val="18"/>
                      <w:szCs w:val="18"/>
                      <w:lang w:val="bg-BG"/>
                    </w:rPr>
                    <w:t>08</w:t>
                  </w:r>
                  <w:r w:rsidR="00A85FC0" w:rsidRPr="007C4468">
                    <w:rPr>
                      <w:rFonts w:asciiTheme="majorHAnsi" w:hAnsiTheme="majorHAnsi"/>
                      <w:sz w:val="18"/>
                      <w:szCs w:val="18"/>
                      <w:lang w:val="bg-BG"/>
                    </w:rPr>
                    <w:t>.</w:t>
                  </w:r>
                  <w:r w:rsidRPr="007C4468">
                    <w:rPr>
                      <w:rFonts w:asciiTheme="majorHAnsi" w:hAnsiTheme="majorHAnsi"/>
                      <w:sz w:val="18"/>
                      <w:szCs w:val="18"/>
                      <w:lang w:val="bg-BG"/>
                    </w:rPr>
                    <w:t>2015</w:t>
                  </w:r>
                </w:p>
              </w:tc>
            </w:tr>
            <w:tr w:rsidR="00130D5C" w:rsidRPr="007C4468" w:rsidTr="00442E20">
              <w:trPr>
                <w:trHeight w:val="641"/>
              </w:trPr>
              <w:tc>
                <w:tcPr>
                  <w:tcW w:w="1446" w:type="dxa"/>
                </w:tcPr>
                <w:p w:rsidR="00130D5C" w:rsidRPr="007C4468" w:rsidRDefault="00275D09" w:rsidP="00130D5C">
                  <w:pPr>
                    <w:jc w:val="center"/>
                    <w:rPr>
                      <w:rFonts w:asciiTheme="majorHAnsi" w:hAnsiTheme="majorHAnsi"/>
                      <w:b/>
                      <w:lang w:val="bg-BG"/>
                    </w:rPr>
                  </w:pPr>
                  <w:r w:rsidRPr="007C4468">
                    <w:rPr>
                      <w:rFonts w:asciiTheme="majorHAnsi" w:hAnsiTheme="majorHAnsi"/>
                      <w:b/>
                      <w:lang w:val="bg-BG"/>
                    </w:rPr>
                    <w:t>Португалия</w:t>
                  </w:r>
                </w:p>
                <w:p w:rsidR="00130D5C" w:rsidRPr="007C4468" w:rsidRDefault="00130D5C" w:rsidP="00442E20">
                  <w:pPr>
                    <w:jc w:val="center"/>
                    <w:rPr>
                      <w:rFonts w:asciiTheme="majorHAnsi" w:hAnsiTheme="majorHAnsi"/>
                      <w:b/>
                      <w:lang w:val="bg-BG"/>
                    </w:rPr>
                  </w:pPr>
                </w:p>
              </w:tc>
              <w:tc>
                <w:tcPr>
                  <w:tcW w:w="1276" w:type="dxa"/>
                </w:tcPr>
                <w:p w:rsidR="00130D5C" w:rsidRPr="007C4468" w:rsidRDefault="00130D5C" w:rsidP="00130D5C">
                  <w:pPr>
                    <w:pStyle w:val="Default"/>
                    <w:jc w:val="center"/>
                    <w:rPr>
                      <w:rFonts w:asciiTheme="majorHAnsi" w:eastAsia="Times New Roman" w:hAnsiTheme="majorHAnsi" w:cs="Times New Roman"/>
                      <w:b/>
                      <w:color w:val="auto"/>
                      <w:sz w:val="18"/>
                      <w:szCs w:val="18"/>
                      <w:lang w:eastAsia="bg-BG"/>
                    </w:rPr>
                  </w:pPr>
                  <w:r w:rsidRPr="007C4468">
                    <w:rPr>
                      <w:rFonts w:asciiTheme="majorHAnsi" w:eastAsia="Times New Roman" w:hAnsiTheme="majorHAnsi" w:cs="Times New Roman"/>
                      <w:b/>
                      <w:color w:val="auto"/>
                      <w:sz w:val="18"/>
                      <w:szCs w:val="18"/>
                      <w:lang w:eastAsia="bg-BG"/>
                    </w:rPr>
                    <w:t>SA.42136</w:t>
                  </w:r>
                  <w:r w:rsidRPr="007C4468">
                    <w:rPr>
                      <w:rStyle w:val="FootnoteReference"/>
                      <w:rFonts w:asciiTheme="majorHAnsi" w:eastAsia="Times New Roman" w:hAnsiTheme="majorHAnsi" w:cs="Times New Roman"/>
                      <w:b/>
                      <w:color w:val="auto"/>
                      <w:sz w:val="18"/>
                      <w:szCs w:val="18"/>
                      <w:lang w:eastAsia="bg-BG"/>
                    </w:rPr>
                    <w:footnoteReference w:id="25"/>
                  </w:r>
                  <w:r w:rsidRPr="007C4468">
                    <w:rPr>
                      <w:rFonts w:asciiTheme="majorHAnsi" w:eastAsia="Times New Roman" w:hAnsiTheme="majorHAnsi" w:cs="Times New Roman"/>
                      <w:b/>
                      <w:color w:val="auto"/>
                      <w:sz w:val="18"/>
                      <w:szCs w:val="18"/>
                      <w:lang w:eastAsia="bg-BG"/>
                    </w:rPr>
                    <w:t xml:space="preserve"> </w:t>
                  </w:r>
                </w:p>
                <w:p w:rsidR="00130D5C" w:rsidRPr="007C4468" w:rsidRDefault="00130D5C" w:rsidP="00442E20">
                  <w:pPr>
                    <w:rPr>
                      <w:rFonts w:asciiTheme="majorHAnsi" w:hAnsiTheme="majorHAnsi"/>
                      <w:b/>
                      <w:sz w:val="18"/>
                      <w:szCs w:val="18"/>
                      <w:lang w:val="bg-BG"/>
                    </w:rPr>
                  </w:pPr>
                </w:p>
              </w:tc>
              <w:tc>
                <w:tcPr>
                  <w:tcW w:w="2702" w:type="dxa"/>
                </w:tcPr>
                <w:p w:rsidR="00130D5C" w:rsidRPr="007C4468" w:rsidRDefault="00F5791A" w:rsidP="00F1795C">
                  <w:pPr>
                    <w:jc w:val="center"/>
                    <w:rPr>
                      <w:rFonts w:asciiTheme="majorHAnsi" w:hAnsiTheme="majorHAnsi"/>
                      <w:sz w:val="18"/>
                      <w:szCs w:val="18"/>
                      <w:lang w:val="bg-BG"/>
                    </w:rPr>
                  </w:pPr>
                  <w:r w:rsidRPr="007C4468">
                    <w:rPr>
                      <w:rFonts w:asciiTheme="majorHAnsi" w:hAnsiTheme="majorHAnsi"/>
                      <w:sz w:val="18"/>
                      <w:szCs w:val="18"/>
                      <w:lang w:val="bg-BG"/>
                    </w:rPr>
                    <w:t xml:space="preserve">План за оценка: </w:t>
                  </w:r>
                  <w:r w:rsidR="00F1795C" w:rsidRPr="007C4468">
                    <w:rPr>
                      <w:rFonts w:asciiTheme="majorHAnsi" w:hAnsiTheme="majorHAnsi"/>
                      <w:sz w:val="18"/>
                      <w:szCs w:val="18"/>
                      <w:lang w:val="bg-BG"/>
                    </w:rPr>
                    <w:t>Бизнес иновации</w:t>
                  </w:r>
                </w:p>
              </w:tc>
              <w:tc>
                <w:tcPr>
                  <w:tcW w:w="1621" w:type="dxa"/>
                </w:tcPr>
                <w:p w:rsidR="00130D5C" w:rsidRPr="007C4468" w:rsidRDefault="00130D5C" w:rsidP="00442E20">
                  <w:pPr>
                    <w:jc w:val="center"/>
                    <w:rPr>
                      <w:rFonts w:asciiTheme="majorHAnsi" w:hAnsiTheme="majorHAnsi"/>
                      <w:sz w:val="18"/>
                      <w:szCs w:val="18"/>
                      <w:lang w:val="bg-BG"/>
                    </w:rPr>
                  </w:pPr>
                </w:p>
              </w:tc>
              <w:tc>
                <w:tcPr>
                  <w:tcW w:w="1267" w:type="dxa"/>
                </w:tcPr>
                <w:p w:rsidR="00130D5C" w:rsidRPr="007C4468" w:rsidRDefault="00F5791A" w:rsidP="00A85FC0">
                  <w:pPr>
                    <w:jc w:val="center"/>
                    <w:rPr>
                      <w:rFonts w:asciiTheme="majorHAnsi" w:hAnsiTheme="majorHAnsi"/>
                      <w:sz w:val="18"/>
                      <w:szCs w:val="18"/>
                      <w:lang w:val="bg-BG"/>
                    </w:rPr>
                  </w:pPr>
                  <w:r w:rsidRPr="007C4468">
                    <w:rPr>
                      <w:rFonts w:asciiTheme="majorHAnsi" w:hAnsiTheme="majorHAnsi"/>
                      <w:sz w:val="18"/>
                      <w:szCs w:val="18"/>
                      <w:lang w:val="bg-BG"/>
                    </w:rPr>
                    <w:t>19</w:t>
                  </w:r>
                  <w:r w:rsidR="00A85FC0" w:rsidRPr="007C4468">
                    <w:rPr>
                      <w:rFonts w:asciiTheme="majorHAnsi" w:hAnsiTheme="majorHAnsi"/>
                      <w:sz w:val="18"/>
                      <w:szCs w:val="18"/>
                      <w:lang w:val="bg-BG"/>
                    </w:rPr>
                    <w:t>.</w:t>
                  </w:r>
                  <w:r w:rsidRPr="007C4468">
                    <w:rPr>
                      <w:rFonts w:asciiTheme="majorHAnsi" w:hAnsiTheme="majorHAnsi"/>
                      <w:sz w:val="18"/>
                      <w:szCs w:val="18"/>
                      <w:lang w:val="bg-BG"/>
                    </w:rPr>
                    <w:t>08</w:t>
                  </w:r>
                  <w:r w:rsidR="00A85FC0" w:rsidRPr="007C4468">
                    <w:rPr>
                      <w:rFonts w:asciiTheme="majorHAnsi" w:hAnsiTheme="majorHAnsi"/>
                      <w:sz w:val="18"/>
                      <w:szCs w:val="18"/>
                      <w:lang w:val="bg-BG"/>
                    </w:rPr>
                    <w:t>.</w:t>
                  </w:r>
                  <w:r w:rsidRPr="007C4468">
                    <w:rPr>
                      <w:rFonts w:asciiTheme="majorHAnsi" w:hAnsiTheme="majorHAnsi"/>
                      <w:sz w:val="18"/>
                      <w:szCs w:val="18"/>
                      <w:lang w:val="bg-BG"/>
                    </w:rPr>
                    <w:t>2015</w:t>
                  </w:r>
                </w:p>
              </w:tc>
            </w:tr>
          </w:tbl>
          <w:p w:rsidR="00B36B71" w:rsidRPr="007C4468" w:rsidRDefault="00B36B71"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CD125E" w:rsidRDefault="00CD125E" w:rsidP="0048453A">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CD125E" w:rsidRDefault="00CD125E" w:rsidP="0048453A">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8453A" w:rsidRPr="007C4468" w:rsidRDefault="0048453A" w:rsidP="0048453A">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Интересни решения под условие на Европейската комисия</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48453A" w:rsidRPr="007C4468" w:rsidTr="00442E20">
              <w:trPr>
                <w:trHeight w:val="642"/>
              </w:trPr>
              <w:tc>
                <w:tcPr>
                  <w:tcW w:w="1242" w:type="dxa"/>
                  <w:shd w:val="clear" w:color="auto" w:fill="DBE5F1" w:themeFill="accent1" w:themeFillTint="33"/>
                  <w:vAlign w:val="center"/>
                </w:tcPr>
                <w:p w:rsidR="0048453A" w:rsidRPr="007C4468" w:rsidRDefault="0048453A" w:rsidP="00442E20">
                  <w:pPr>
                    <w:jc w:val="center"/>
                    <w:rPr>
                      <w:rFonts w:asciiTheme="majorHAnsi" w:hAnsiTheme="majorHAnsi"/>
                      <w:b/>
                      <w:sz w:val="18"/>
                      <w:szCs w:val="18"/>
                      <w:lang w:val="bg-BG"/>
                    </w:rPr>
                  </w:pPr>
                  <w:r w:rsidRPr="007C4468">
                    <w:rPr>
                      <w:rFonts w:asciiTheme="majorHAnsi" w:hAnsiTheme="majorHAnsi"/>
                      <w:b/>
                      <w:sz w:val="18"/>
                      <w:szCs w:val="18"/>
                      <w:lang w:val="bg-BG"/>
                    </w:rPr>
                    <w:t>Държава</w:t>
                  </w:r>
                </w:p>
              </w:tc>
              <w:tc>
                <w:tcPr>
                  <w:tcW w:w="1338" w:type="dxa"/>
                  <w:shd w:val="clear" w:color="auto" w:fill="DBE5F1" w:themeFill="accent1" w:themeFillTint="33"/>
                  <w:vAlign w:val="center"/>
                </w:tcPr>
                <w:p w:rsidR="0048453A" w:rsidRPr="007C4468" w:rsidRDefault="0048453A" w:rsidP="00442E20">
                  <w:pPr>
                    <w:jc w:val="center"/>
                    <w:rPr>
                      <w:rFonts w:asciiTheme="majorHAnsi" w:hAnsiTheme="majorHAnsi"/>
                      <w:b/>
                      <w:sz w:val="18"/>
                      <w:szCs w:val="18"/>
                      <w:lang w:val="bg-BG"/>
                    </w:rPr>
                  </w:pPr>
                  <w:r w:rsidRPr="007C4468">
                    <w:rPr>
                      <w:rFonts w:asciiTheme="majorHAnsi" w:hAnsiTheme="majorHAnsi"/>
                      <w:b/>
                      <w:sz w:val="18"/>
                      <w:szCs w:val="18"/>
                      <w:lang w:val="bg-BG"/>
                    </w:rPr>
                    <w:t>№ на дело</w:t>
                  </w:r>
                </w:p>
              </w:tc>
              <w:tc>
                <w:tcPr>
                  <w:tcW w:w="2702" w:type="dxa"/>
                  <w:shd w:val="clear" w:color="auto" w:fill="DBE5F1" w:themeFill="accent1" w:themeFillTint="33"/>
                </w:tcPr>
                <w:p w:rsidR="0048453A" w:rsidRPr="007C4468" w:rsidRDefault="0048453A" w:rsidP="00442E20">
                  <w:pPr>
                    <w:jc w:val="center"/>
                    <w:rPr>
                      <w:rFonts w:asciiTheme="majorHAnsi" w:hAnsiTheme="majorHAnsi"/>
                      <w:b/>
                      <w:sz w:val="18"/>
                      <w:szCs w:val="18"/>
                      <w:lang w:val="bg-BG"/>
                    </w:rPr>
                  </w:pPr>
                </w:p>
                <w:p w:rsidR="0048453A" w:rsidRPr="007C4468" w:rsidRDefault="0048453A" w:rsidP="00442E20">
                  <w:pPr>
                    <w:jc w:val="center"/>
                    <w:rPr>
                      <w:rFonts w:asciiTheme="majorHAnsi" w:hAnsiTheme="majorHAnsi"/>
                      <w:b/>
                      <w:sz w:val="18"/>
                      <w:szCs w:val="18"/>
                      <w:lang w:val="bg-BG"/>
                    </w:rPr>
                  </w:pPr>
                  <w:r w:rsidRPr="007C4468">
                    <w:rPr>
                      <w:rFonts w:asciiTheme="majorHAnsi" w:hAnsiTheme="majorHAnsi"/>
                      <w:b/>
                      <w:sz w:val="18"/>
                      <w:szCs w:val="18"/>
                      <w:lang w:val="bg-BG"/>
                    </w:rPr>
                    <w:t>Заглавие</w:t>
                  </w:r>
                </w:p>
              </w:tc>
              <w:tc>
                <w:tcPr>
                  <w:tcW w:w="1548" w:type="dxa"/>
                  <w:shd w:val="clear" w:color="auto" w:fill="DBE5F1" w:themeFill="accent1" w:themeFillTint="33"/>
                  <w:vAlign w:val="center"/>
                </w:tcPr>
                <w:p w:rsidR="0048453A" w:rsidRPr="007C4468" w:rsidRDefault="0048453A" w:rsidP="00442E20">
                  <w:pPr>
                    <w:jc w:val="center"/>
                    <w:rPr>
                      <w:rFonts w:asciiTheme="majorHAnsi" w:hAnsiTheme="majorHAnsi"/>
                      <w:b/>
                      <w:sz w:val="18"/>
                      <w:szCs w:val="18"/>
                      <w:lang w:val="bg-BG"/>
                    </w:rPr>
                  </w:pPr>
                  <w:r w:rsidRPr="007C4468">
                    <w:rPr>
                      <w:rFonts w:asciiTheme="majorHAnsi" w:hAnsiTheme="majorHAnsi"/>
                      <w:b/>
                      <w:sz w:val="18"/>
                      <w:szCs w:val="18"/>
                      <w:lang w:val="bg-BG"/>
                    </w:rPr>
                    <w:t>Цел</w:t>
                  </w:r>
                </w:p>
              </w:tc>
              <w:tc>
                <w:tcPr>
                  <w:tcW w:w="1267" w:type="dxa"/>
                  <w:shd w:val="clear" w:color="auto" w:fill="DBE5F1" w:themeFill="accent1" w:themeFillTint="33"/>
                  <w:vAlign w:val="center"/>
                </w:tcPr>
                <w:p w:rsidR="0048453A" w:rsidRPr="007C4468" w:rsidRDefault="0048453A" w:rsidP="00442E20">
                  <w:pPr>
                    <w:jc w:val="center"/>
                    <w:rPr>
                      <w:rFonts w:asciiTheme="majorHAnsi" w:hAnsiTheme="majorHAnsi"/>
                      <w:b/>
                      <w:sz w:val="18"/>
                      <w:szCs w:val="18"/>
                      <w:lang w:val="bg-BG"/>
                    </w:rPr>
                  </w:pPr>
                  <w:r w:rsidRPr="007C4468">
                    <w:rPr>
                      <w:rFonts w:asciiTheme="majorHAnsi" w:hAnsiTheme="majorHAnsi"/>
                      <w:b/>
                      <w:sz w:val="18"/>
                      <w:szCs w:val="18"/>
                      <w:lang w:val="bg-BG"/>
                    </w:rPr>
                    <w:t>Дата на решението</w:t>
                  </w:r>
                </w:p>
              </w:tc>
            </w:tr>
            <w:tr w:rsidR="0048453A" w:rsidRPr="007C4468" w:rsidTr="00CD125E">
              <w:trPr>
                <w:trHeight w:val="862"/>
              </w:trPr>
              <w:tc>
                <w:tcPr>
                  <w:tcW w:w="1242" w:type="dxa"/>
                </w:tcPr>
                <w:p w:rsidR="0048453A" w:rsidRPr="007C4468" w:rsidRDefault="0048453A" w:rsidP="00442E20">
                  <w:pPr>
                    <w:jc w:val="center"/>
                    <w:rPr>
                      <w:rFonts w:asciiTheme="majorHAnsi" w:hAnsiTheme="majorHAnsi"/>
                      <w:b/>
                      <w:highlight w:val="yellow"/>
                      <w:lang w:val="bg-BG"/>
                    </w:rPr>
                  </w:pPr>
                  <w:r w:rsidRPr="007C4468">
                    <w:rPr>
                      <w:rFonts w:asciiTheme="majorHAnsi" w:hAnsiTheme="majorHAnsi"/>
                      <w:sz w:val="18"/>
                      <w:szCs w:val="18"/>
                      <w:lang w:val="bg-BG"/>
                    </w:rPr>
                    <w:t xml:space="preserve"> </w:t>
                  </w:r>
                  <w:r w:rsidRPr="007C4468">
                    <w:rPr>
                      <w:rFonts w:asciiTheme="majorHAnsi" w:hAnsiTheme="majorHAnsi"/>
                      <w:b/>
                      <w:lang w:val="bg-BG"/>
                    </w:rPr>
                    <w:t>Франция</w:t>
                  </w:r>
                </w:p>
              </w:tc>
              <w:tc>
                <w:tcPr>
                  <w:tcW w:w="1338" w:type="dxa"/>
                </w:tcPr>
                <w:p w:rsidR="0048453A" w:rsidRPr="007C4468" w:rsidRDefault="0048453A" w:rsidP="0048453A">
                  <w:pPr>
                    <w:jc w:val="center"/>
                    <w:rPr>
                      <w:rFonts w:asciiTheme="majorHAnsi" w:hAnsiTheme="majorHAnsi"/>
                      <w:b/>
                      <w:sz w:val="18"/>
                      <w:szCs w:val="18"/>
                      <w:highlight w:val="yellow"/>
                      <w:lang w:val="bg-BG"/>
                    </w:rPr>
                  </w:pPr>
                  <w:r w:rsidRPr="007C4468">
                    <w:rPr>
                      <w:rFonts w:asciiTheme="majorHAnsi" w:hAnsiTheme="majorHAnsi"/>
                      <w:b/>
                      <w:sz w:val="18"/>
                      <w:szCs w:val="18"/>
                      <w:lang w:val="bg-BG"/>
                    </w:rPr>
                    <w:t>SA.38544</w:t>
                  </w:r>
                  <w:r w:rsidRPr="007C4468">
                    <w:rPr>
                      <w:rStyle w:val="FootnoteReference"/>
                      <w:rFonts w:asciiTheme="majorHAnsi" w:hAnsiTheme="majorHAnsi"/>
                      <w:b/>
                      <w:sz w:val="18"/>
                      <w:szCs w:val="18"/>
                      <w:lang w:val="bg-BG"/>
                    </w:rPr>
                    <w:footnoteReference w:id="26"/>
                  </w:r>
                </w:p>
              </w:tc>
              <w:tc>
                <w:tcPr>
                  <w:tcW w:w="2702" w:type="dxa"/>
                </w:tcPr>
                <w:p w:rsidR="0046454A" w:rsidRPr="007C4468" w:rsidRDefault="0046454A" w:rsidP="00CD125E">
                  <w:pPr>
                    <w:jc w:val="center"/>
                    <w:rPr>
                      <w:rFonts w:asciiTheme="majorHAnsi" w:hAnsiTheme="majorHAnsi"/>
                      <w:sz w:val="18"/>
                      <w:szCs w:val="18"/>
                      <w:highlight w:val="yellow"/>
                      <w:lang w:val="bg-BG"/>
                    </w:rPr>
                  </w:pPr>
                  <w:r w:rsidRPr="007C4468">
                    <w:rPr>
                      <w:rFonts w:asciiTheme="majorHAnsi" w:hAnsiTheme="majorHAnsi"/>
                      <w:sz w:val="18"/>
                      <w:szCs w:val="18"/>
                      <w:lang w:val="bg-BG"/>
                    </w:rPr>
                    <w:t xml:space="preserve"> Разпореждане за временна и изключителна подкрепа за преструктуриране в полза на КЕМ ONE SAS</w:t>
                  </w:r>
                </w:p>
              </w:tc>
              <w:tc>
                <w:tcPr>
                  <w:tcW w:w="1548" w:type="dxa"/>
                </w:tcPr>
                <w:p w:rsidR="0048453A" w:rsidRPr="007C4468" w:rsidRDefault="0048453A" w:rsidP="00442E20">
                  <w:pPr>
                    <w:jc w:val="center"/>
                    <w:rPr>
                      <w:rFonts w:asciiTheme="majorHAnsi" w:hAnsiTheme="majorHAnsi"/>
                      <w:sz w:val="18"/>
                      <w:szCs w:val="18"/>
                      <w:highlight w:val="yellow"/>
                      <w:lang w:val="bg-BG"/>
                    </w:rPr>
                  </w:pPr>
                </w:p>
              </w:tc>
              <w:tc>
                <w:tcPr>
                  <w:tcW w:w="1267" w:type="dxa"/>
                </w:tcPr>
                <w:p w:rsidR="0048453A" w:rsidRPr="007C4468" w:rsidRDefault="00FB22B2" w:rsidP="003C1C42">
                  <w:pPr>
                    <w:jc w:val="center"/>
                    <w:rPr>
                      <w:rFonts w:asciiTheme="majorHAnsi" w:hAnsiTheme="majorHAnsi"/>
                      <w:sz w:val="18"/>
                      <w:szCs w:val="18"/>
                      <w:highlight w:val="yellow"/>
                      <w:lang w:val="bg-BG"/>
                    </w:rPr>
                  </w:pPr>
                  <w:r w:rsidRPr="007C4468">
                    <w:rPr>
                      <w:rFonts w:asciiTheme="majorHAnsi" w:hAnsiTheme="majorHAnsi"/>
                      <w:sz w:val="18"/>
                      <w:szCs w:val="18"/>
                      <w:lang w:val="bg-BG"/>
                    </w:rPr>
                    <w:t>28</w:t>
                  </w:r>
                  <w:r w:rsidR="003C1C42" w:rsidRPr="007C4468">
                    <w:rPr>
                      <w:rFonts w:asciiTheme="majorHAnsi" w:hAnsiTheme="majorHAnsi"/>
                      <w:sz w:val="18"/>
                      <w:szCs w:val="18"/>
                      <w:lang w:val="bg-BG"/>
                    </w:rPr>
                    <w:t>.</w:t>
                  </w:r>
                  <w:r w:rsidRPr="007C4468">
                    <w:rPr>
                      <w:rFonts w:asciiTheme="majorHAnsi" w:hAnsiTheme="majorHAnsi"/>
                      <w:sz w:val="18"/>
                      <w:szCs w:val="18"/>
                      <w:lang w:val="bg-BG"/>
                    </w:rPr>
                    <w:t>07</w:t>
                  </w:r>
                  <w:r w:rsidR="003C1C42" w:rsidRPr="007C4468">
                    <w:rPr>
                      <w:rFonts w:asciiTheme="majorHAnsi" w:hAnsiTheme="majorHAnsi"/>
                      <w:sz w:val="18"/>
                      <w:szCs w:val="18"/>
                      <w:lang w:val="bg-BG"/>
                    </w:rPr>
                    <w:t>.</w:t>
                  </w:r>
                  <w:r w:rsidRPr="007C4468">
                    <w:rPr>
                      <w:rFonts w:asciiTheme="majorHAnsi" w:hAnsiTheme="majorHAnsi"/>
                      <w:sz w:val="18"/>
                      <w:szCs w:val="18"/>
                      <w:lang w:val="bg-BG"/>
                    </w:rPr>
                    <w:t>2015</w:t>
                  </w:r>
                </w:p>
              </w:tc>
            </w:tr>
          </w:tbl>
          <w:p w:rsidR="00CE548F" w:rsidRPr="007C4468" w:rsidRDefault="008648D0" w:rsidP="00CD125E">
            <w:pPr>
              <w:spacing w:before="24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Интересни о</w:t>
            </w:r>
            <w:r w:rsidR="00CE548F"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трицателни решения </w:t>
            </w:r>
            <w:r w:rsidR="00863408"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и/или решения за</w:t>
            </w:r>
            <w:r w:rsidR="00CE548F"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възстановяване</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на Европейската комисия</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863408" w:rsidRPr="007C4468" w:rsidTr="002414F2">
              <w:trPr>
                <w:trHeight w:val="642"/>
              </w:trPr>
              <w:tc>
                <w:tcPr>
                  <w:tcW w:w="1242" w:type="dxa"/>
                  <w:shd w:val="clear" w:color="auto" w:fill="DBE5F1" w:themeFill="accent1" w:themeFillTint="33"/>
                  <w:vAlign w:val="center"/>
                </w:tcPr>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Държава</w:t>
                  </w:r>
                </w:p>
              </w:tc>
              <w:tc>
                <w:tcPr>
                  <w:tcW w:w="1338" w:type="dxa"/>
                  <w:shd w:val="clear" w:color="auto" w:fill="DBE5F1" w:themeFill="accent1" w:themeFillTint="33"/>
                  <w:vAlign w:val="center"/>
                </w:tcPr>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 на дело</w:t>
                  </w:r>
                </w:p>
              </w:tc>
              <w:tc>
                <w:tcPr>
                  <w:tcW w:w="2702" w:type="dxa"/>
                  <w:shd w:val="clear" w:color="auto" w:fill="DBE5F1" w:themeFill="accent1" w:themeFillTint="33"/>
                </w:tcPr>
                <w:p w:rsidR="00863408" w:rsidRPr="007C4468" w:rsidRDefault="00863408" w:rsidP="00EE53EA">
                  <w:pPr>
                    <w:jc w:val="center"/>
                    <w:rPr>
                      <w:rFonts w:asciiTheme="majorHAnsi" w:hAnsiTheme="majorHAnsi"/>
                      <w:b/>
                      <w:sz w:val="18"/>
                      <w:szCs w:val="18"/>
                      <w:lang w:val="bg-BG"/>
                    </w:rPr>
                  </w:pPr>
                </w:p>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Заглавие</w:t>
                  </w:r>
                </w:p>
              </w:tc>
              <w:tc>
                <w:tcPr>
                  <w:tcW w:w="1548" w:type="dxa"/>
                  <w:shd w:val="clear" w:color="auto" w:fill="DBE5F1" w:themeFill="accent1" w:themeFillTint="33"/>
                  <w:vAlign w:val="center"/>
                </w:tcPr>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Цел</w:t>
                  </w:r>
                </w:p>
              </w:tc>
              <w:tc>
                <w:tcPr>
                  <w:tcW w:w="1267" w:type="dxa"/>
                  <w:shd w:val="clear" w:color="auto" w:fill="DBE5F1" w:themeFill="accent1" w:themeFillTint="33"/>
                  <w:vAlign w:val="center"/>
                </w:tcPr>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Дата на решението</w:t>
                  </w:r>
                </w:p>
              </w:tc>
            </w:tr>
            <w:tr w:rsidR="00863408" w:rsidRPr="007C4468" w:rsidTr="00D44C82">
              <w:trPr>
                <w:trHeight w:val="787"/>
              </w:trPr>
              <w:tc>
                <w:tcPr>
                  <w:tcW w:w="1242" w:type="dxa"/>
                </w:tcPr>
                <w:p w:rsidR="00863408" w:rsidRPr="007C4468" w:rsidRDefault="00863408" w:rsidP="0048453A">
                  <w:pPr>
                    <w:jc w:val="center"/>
                    <w:rPr>
                      <w:rFonts w:asciiTheme="majorHAnsi" w:hAnsiTheme="majorHAnsi"/>
                      <w:b/>
                      <w:lang w:val="bg-BG"/>
                    </w:rPr>
                  </w:pPr>
                  <w:r w:rsidRPr="007C4468">
                    <w:rPr>
                      <w:rFonts w:asciiTheme="majorHAnsi" w:hAnsiTheme="majorHAnsi"/>
                      <w:sz w:val="18"/>
                      <w:szCs w:val="18"/>
                      <w:lang w:val="bg-BG"/>
                    </w:rPr>
                    <w:t xml:space="preserve"> </w:t>
                  </w:r>
                  <w:r w:rsidR="0048453A" w:rsidRPr="007C4468">
                    <w:rPr>
                      <w:rFonts w:asciiTheme="majorHAnsi" w:hAnsiTheme="majorHAnsi"/>
                      <w:b/>
                      <w:lang w:val="bg-BG"/>
                    </w:rPr>
                    <w:t>Италия</w:t>
                  </w:r>
                </w:p>
              </w:tc>
              <w:tc>
                <w:tcPr>
                  <w:tcW w:w="1338" w:type="dxa"/>
                </w:tcPr>
                <w:p w:rsidR="00863408" w:rsidRPr="007C4468" w:rsidRDefault="00863408" w:rsidP="0048453A">
                  <w:pPr>
                    <w:jc w:val="center"/>
                    <w:rPr>
                      <w:rFonts w:asciiTheme="majorHAnsi" w:hAnsiTheme="majorHAnsi"/>
                      <w:b/>
                      <w:sz w:val="18"/>
                      <w:szCs w:val="18"/>
                      <w:lang w:val="bg-BG"/>
                    </w:rPr>
                  </w:pPr>
                  <w:r w:rsidRPr="007C4468">
                    <w:rPr>
                      <w:rFonts w:asciiTheme="majorHAnsi" w:hAnsiTheme="majorHAnsi"/>
                      <w:b/>
                      <w:sz w:val="18"/>
                      <w:szCs w:val="18"/>
                      <w:lang w:val="bg-BG"/>
                    </w:rPr>
                    <w:t>SA.3</w:t>
                  </w:r>
                  <w:r w:rsidR="0048453A" w:rsidRPr="007C4468">
                    <w:rPr>
                      <w:rFonts w:asciiTheme="majorHAnsi" w:hAnsiTheme="majorHAnsi"/>
                      <w:b/>
                      <w:sz w:val="18"/>
                      <w:szCs w:val="18"/>
                      <w:lang w:val="bg-BG"/>
                    </w:rPr>
                    <w:t>3083</w:t>
                  </w:r>
                  <w:r w:rsidR="00315228" w:rsidRPr="007C4468">
                    <w:rPr>
                      <w:rStyle w:val="FootnoteReference"/>
                      <w:rFonts w:asciiTheme="majorHAnsi" w:hAnsiTheme="majorHAnsi"/>
                      <w:b/>
                      <w:sz w:val="18"/>
                      <w:szCs w:val="18"/>
                      <w:lang w:val="bg-BG"/>
                    </w:rPr>
                    <w:footnoteReference w:id="27"/>
                  </w:r>
                </w:p>
              </w:tc>
              <w:tc>
                <w:tcPr>
                  <w:tcW w:w="2702" w:type="dxa"/>
                </w:tcPr>
                <w:p w:rsidR="00A66122" w:rsidRPr="007C4468" w:rsidRDefault="004900D0" w:rsidP="003F65F3">
                  <w:pPr>
                    <w:jc w:val="center"/>
                    <w:rPr>
                      <w:rFonts w:asciiTheme="majorHAnsi" w:hAnsiTheme="majorHAnsi"/>
                      <w:sz w:val="18"/>
                      <w:szCs w:val="18"/>
                      <w:highlight w:val="yellow"/>
                      <w:lang w:val="bg-BG"/>
                    </w:rPr>
                  </w:pPr>
                  <w:r w:rsidRPr="007C4468">
                    <w:rPr>
                      <w:rFonts w:asciiTheme="majorHAnsi" w:hAnsiTheme="majorHAnsi"/>
                      <w:sz w:val="18"/>
                      <w:szCs w:val="18"/>
                      <w:lang w:val="bg-BG"/>
                    </w:rPr>
                    <w:t xml:space="preserve">Мерките за помощ, свързани със земетресението в Сицилия </w:t>
                  </w:r>
                  <w:r w:rsidR="003F65F3" w:rsidRPr="007C4468">
                    <w:rPr>
                      <w:rFonts w:asciiTheme="majorHAnsi" w:hAnsiTheme="majorHAnsi"/>
                      <w:sz w:val="18"/>
                      <w:szCs w:val="18"/>
                      <w:lang w:val="bg-BG"/>
                    </w:rPr>
                    <w:t xml:space="preserve">през </w:t>
                  </w:r>
                  <w:r w:rsidRPr="007C4468">
                    <w:rPr>
                      <w:rFonts w:asciiTheme="majorHAnsi" w:hAnsiTheme="majorHAnsi"/>
                      <w:sz w:val="18"/>
                      <w:szCs w:val="18"/>
                      <w:lang w:val="bg-BG"/>
                    </w:rPr>
                    <w:t>1990 г. и наводненията в Северна Италия от 1994 г. (и за по-скорошни природни бедствия в Италия)</w:t>
                  </w:r>
                </w:p>
              </w:tc>
              <w:tc>
                <w:tcPr>
                  <w:tcW w:w="1548" w:type="dxa"/>
                </w:tcPr>
                <w:p w:rsidR="00863408" w:rsidRPr="007C4468" w:rsidRDefault="004900D0" w:rsidP="002414F2">
                  <w:pPr>
                    <w:jc w:val="center"/>
                    <w:rPr>
                      <w:rFonts w:asciiTheme="majorHAnsi" w:hAnsiTheme="majorHAnsi"/>
                      <w:sz w:val="18"/>
                      <w:szCs w:val="18"/>
                      <w:highlight w:val="yellow"/>
                      <w:lang w:val="bg-BG"/>
                    </w:rPr>
                  </w:pPr>
                  <w:r w:rsidRPr="007C4468">
                    <w:rPr>
                      <w:rFonts w:asciiTheme="majorHAnsi" w:hAnsiTheme="majorHAnsi"/>
                      <w:sz w:val="18"/>
                      <w:szCs w:val="18"/>
                      <w:lang w:val="bg-BG"/>
                    </w:rPr>
                    <w:t>Обезщетение на щети, причинени от природни бедствия</w:t>
                  </w:r>
                </w:p>
              </w:tc>
              <w:tc>
                <w:tcPr>
                  <w:tcW w:w="1267" w:type="dxa"/>
                </w:tcPr>
                <w:p w:rsidR="00863408" w:rsidRPr="007C4468" w:rsidRDefault="004900D0" w:rsidP="00EE53EA">
                  <w:pPr>
                    <w:jc w:val="center"/>
                    <w:rPr>
                      <w:rFonts w:asciiTheme="majorHAnsi" w:hAnsiTheme="majorHAnsi"/>
                      <w:sz w:val="18"/>
                      <w:szCs w:val="18"/>
                      <w:highlight w:val="yellow"/>
                      <w:lang w:val="bg-BG"/>
                    </w:rPr>
                  </w:pPr>
                  <w:r w:rsidRPr="007C4468">
                    <w:rPr>
                      <w:rFonts w:asciiTheme="majorHAnsi" w:hAnsiTheme="majorHAnsi"/>
                      <w:sz w:val="18"/>
                      <w:szCs w:val="18"/>
                      <w:lang w:val="bg-BG"/>
                    </w:rPr>
                    <w:t>14/08/2015</w:t>
                  </w:r>
                </w:p>
              </w:tc>
            </w:tr>
            <w:tr w:rsidR="0048453A" w:rsidRPr="007C4468" w:rsidTr="00442E20">
              <w:trPr>
                <w:trHeight w:val="787"/>
              </w:trPr>
              <w:tc>
                <w:tcPr>
                  <w:tcW w:w="1242" w:type="dxa"/>
                </w:tcPr>
                <w:p w:rsidR="0048453A" w:rsidRPr="007C4468" w:rsidRDefault="0048453A" w:rsidP="00442E20">
                  <w:pPr>
                    <w:jc w:val="center"/>
                    <w:rPr>
                      <w:rFonts w:asciiTheme="majorHAnsi" w:hAnsiTheme="majorHAnsi"/>
                      <w:b/>
                      <w:lang w:val="bg-BG"/>
                    </w:rPr>
                  </w:pPr>
                  <w:r w:rsidRPr="007C4468">
                    <w:rPr>
                      <w:rFonts w:asciiTheme="majorHAnsi" w:hAnsiTheme="majorHAnsi"/>
                      <w:b/>
                      <w:lang w:val="bg-BG"/>
                    </w:rPr>
                    <w:t>Италия</w:t>
                  </w:r>
                </w:p>
              </w:tc>
              <w:tc>
                <w:tcPr>
                  <w:tcW w:w="1338" w:type="dxa"/>
                </w:tcPr>
                <w:p w:rsidR="0048453A" w:rsidRPr="007C4468" w:rsidRDefault="0048453A" w:rsidP="00442E20">
                  <w:pPr>
                    <w:jc w:val="center"/>
                    <w:rPr>
                      <w:rFonts w:asciiTheme="majorHAnsi" w:hAnsiTheme="majorHAnsi"/>
                      <w:b/>
                      <w:sz w:val="18"/>
                      <w:szCs w:val="18"/>
                      <w:lang w:val="bg-BG"/>
                    </w:rPr>
                  </w:pPr>
                  <w:r w:rsidRPr="007C4468">
                    <w:rPr>
                      <w:rFonts w:asciiTheme="majorHAnsi" w:hAnsiTheme="majorHAnsi"/>
                      <w:b/>
                      <w:sz w:val="18"/>
                      <w:szCs w:val="18"/>
                      <w:lang w:val="bg-BG"/>
                    </w:rPr>
                    <w:t>SA.35083</w:t>
                  </w:r>
                  <w:r w:rsidRPr="007C4468">
                    <w:rPr>
                      <w:rStyle w:val="FootnoteReference"/>
                      <w:rFonts w:asciiTheme="majorHAnsi" w:hAnsiTheme="majorHAnsi"/>
                      <w:b/>
                      <w:sz w:val="18"/>
                      <w:szCs w:val="18"/>
                      <w:lang w:val="bg-BG"/>
                    </w:rPr>
                    <w:footnoteReference w:id="28"/>
                  </w:r>
                </w:p>
              </w:tc>
              <w:tc>
                <w:tcPr>
                  <w:tcW w:w="2702" w:type="dxa"/>
                </w:tcPr>
                <w:p w:rsidR="0048453A" w:rsidRPr="007C4468" w:rsidRDefault="006D29D3" w:rsidP="00827996">
                  <w:pPr>
                    <w:jc w:val="center"/>
                    <w:rPr>
                      <w:rFonts w:asciiTheme="majorHAnsi" w:hAnsiTheme="majorHAnsi"/>
                      <w:sz w:val="18"/>
                      <w:szCs w:val="18"/>
                      <w:highlight w:val="yellow"/>
                      <w:lang w:val="bg-BG"/>
                    </w:rPr>
                  </w:pPr>
                  <w:r w:rsidRPr="007C4468">
                    <w:rPr>
                      <w:rFonts w:asciiTheme="majorHAnsi" w:hAnsiTheme="majorHAnsi"/>
                      <w:sz w:val="18"/>
                      <w:szCs w:val="18"/>
                      <w:lang w:val="bg-BG"/>
                    </w:rPr>
                    <w:t>Намалени такси</w:t>
                  </w:r>
                  <w:r w:rsidR="00827996" w:rsidRPr="007C4468">
                    <w:rPr>
                      <w:rFonts w:asciiTheme="majorHAnsi" w:hAnsiTheme="majorHAnsi"/>
                      <w:sz w:val="18"/>
                      <w:szCs w:val="18"/>
                      <w:lang w:val="bg-BG"/>
                    </w:rPr>
                    <w:t>/</w:t>
                  </w:r>
                  <w:r w:rsidRPr="007C4468">
                    <w:rPr>
                      <w:rFonts w:asciiTheme="majorHAnsi" w:hAnsiTheme="majorHAnsi"/>
                      <w:sz w:val="18"/>
                      <w:szCs w:val="18"/>
                      <w:lang w:val="bg-BG"/>
                    </w:rPr>
                    <w:t xml:space="preserve"> вноски, свързани със земетресението през 2009</w:t>
                  </w:r>
                  <w:r w:rsidR="00827996" w:rsidRPr="007C4468">
                    <w:rPr>
                      <w:rFonts w:asciiTheme="majorHAnsi" w:hAnsiTheme="majorHAnsi"/>
                      <w:sz w:val="18"/>
                      <w:szCs w:val="18"/>
                      <w:lang w:val="bg-BG"/>
                    </w:rPr>
                    <w:t xml:space="preserve"> </w:t>
                  </w:r>
                  <w:r w:rsidRPr="007C4468">
                    <w:rPr>
                      <w:rFonts w:asciiTheme="majorHAnsi" w:hAnsiTheme="majorHAnsi"/>
                      <w:sz w:val="18"/>
                      <w:szCs w:val="18"/>
                      <w:lang w:val="bg-BG"/>
                    </w:rPr>
                    <w:t>г</w:t>
                  </w:r>
                  <w:r w:rsidR="00827996" w:rsidRPr="007C4468">
                    <w:rPr>
                      <w:rFonts w:asciiTheme="majorHAnsi" w:hAnsiTheme="majorHAnsi"/>
                      <w:sz w:val="18"/>
                      <w:szCs w:val="18"/>
                      <w:lang w:val="bg-BG"/>
                    </w:rPr>
                    <w:t>.</w:t>
                  </w:r>
                  <w:r w:rsidRPr="007C4468">
                    <w:rPr>
                      <w:rFonts w:asciiTheme="majorHAnsi" w:hAnsiTheme="majorHAnsi"/>
                      <w:sz w:val="18"/>
                      <w:szCs w:val="18"/>
                      <w:lang w:val="bg-BG"/>
                    </w:rPr>
                    <w:t xml:space="preserve"> в </w:t>
                  </w:r>
                  <w:r w:rsidR="00827996" w:rsidRPr="007C4468">
                    <w:rPr>
                      <w:rFonts w:asciiTheme="majorHAnsi" w:hAnsiTheme="majorHAnsi"/>
                      <w:sz w:val="18"/>
                      <w:szCs w:val="18"/>
                      <w:lang w:val="bg-BG"/>
                    </w:rPr>
                    <w:t>Абруцо</w:t>
                  </w:r>
                </w:p>
              </w:tc>
              <w:tc>
                <w:tcPr>
                  <w:tcW w:w="1548" w:type="dxa"/>
                </w:tcPr>
                <w:p w:rsidR="0048453A" w:rsidRPr="007C4468" w:rsidRDefault="006D29D3" w:rsidP="00442E20">
                  <w:pPr>
                    <w:jc w:val="center"/>
                    <w:rPr>
                      <w:rFonts w:asciiTheme="majorHAnsi" w:hAnsiTheme="majorHAnsi"/>
                      <w:sz w:val="18"/>
                      <w:szCs w:val="18"/>
                      <w:highlight w:val="yellow"/>
                      <w:lang w:val="bg-BG"/>
                    </w:rPr>
                  </w:pPr>
                  <w:r w:rsidRPr="007C4468">
                    <w:rPr>
                      <w:rFonts w:asciiTheme="majorHAnsi" w:hAnsiTheme="majorHAnsi"/>
                      <w:sz w:val="18"/>
                      <w:szCs w:val="18"/>
                      <w:lang w:val="bg-BG"/>
                    </w:rPr>
                    <w:t xml:space="preserve">Природни бедствия или </w:t>
                  </w:r>
                  <w:r w:rsidR="005C5A77" w:rsidRPr="007C4468">
                    <w:rPr>
                      <w:rFonts w:asciiTheme="majorHAnsi" w:hAnsiTheme="majorHAnsi"/>
                      <w:sz w:val="18"/>
                      <w:szCs w:val="18"/>
                      <w:lang w:val="bg-BG"/>
                    </w:rPr>
                    <w:t xml:space="preserve">от </w:t>
                  </w:r>
                  <w:r w:rsidRPr="007C4468">
                    <w:rPr>
                      <w:rFonts w:asciiTheme="majorHAnsi" w:hAnsiTheme="majorHAnsi"/>
                      <w:sz w:val="18"/>
                      <w:szCs w:val="18"/>
                      <w:lang w:val="bg-BG"/>
                    </w:rPr>
                    <w:t>извънредни обстоятелства</w:t>
                  </w:r>
                </w:p>
              </w:tc>
              <w:tc>
                <w:tcPr>
                  <w:tcW w:w="1267" w:type="dxa"/>
                </w:tcPr>
                <w:p w:rsidR="0048453A" w:rsidRPr="007C4468" w:rsidRDefault="006D29D3" w:rsidP="00442E20">
                  <w:pPr>
                    <w:jc w:val="center"/>
                    <w:rPr>
                      <w:rFonts w:asciiTheme="majorHAnsi" w:hAnsiTheme="majorHAnsi"/>
                      <w:sz w:val="18"/>
                      <w:szCs w:val="18"/>
                      <w:highlight w:val="yellow"/>
                      <w:lang w:val="bg-BG"/>
                    </w:rPr>
                  </w:pPr>
                  <w:r w:rsidRPr="007C4468">
                    <w:rPr>
                      <w:rFonts w:asciiTheme="majorHAnsi" w:hAnsiTheme="majorHAnsi"/>
                      <w:sz w:val="18"/>
                      <w:szCs w:val="18"/>
                      <w:lang w:val="bg-BG"/>
                    </w:rPr>
                    <w:t>14/08/2015</w:t>
                  </w:r>
                </w:p>
              </w:tc>
            </w:tr>
          </w:tbl>
          <w:p w:rsidR="002414F2" w:rsidRPr="007C4468" w:rsidRDefault="002414F2"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7C4468" w:rsidRDefault="009B78BB"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мерки по ОРГО в Регистъра на Европейската комисия</w:t>
            </w:r>
          </w:p>
          <w:p w:rsidR="005B06E9" w:rsidRPr="007C4468" w:rsidRDefault="00ED0450" w:rsidP="005B06E9">
            <w:pPr>
              <w:jc w:val="both"/>
              <w:rPr>
                <w:lang w:val="bg-BG"/>
              </w:rPr>
            </w:pPr>
            <w:r w:rsidRPr="007C4468">
              <w:rPr>
                <w:lang w:val="bg-BG"/>
              </w:rPr>
              <w:t>П</w:t>
            </w:r>
            <w:r w:rsidR="005B06E9" w:rsidRPr="007C4468">
              <w:rPr>
                <w:lang w:val="bg-BG"/>
              </w:rPr>
              <w:t>убликувани</w:t>
            </w:r>
            <w:r w:rsidRPr="007C4468">
              <w:rPr>
                <w:lang w:val="bg-BG"/>
              </w:rPr>
              <w:t>те за този период</w:t>
            </w:r>
            <w:r w:rsidR="005B06E9" w:rsidRPr="007C4468">
              <w:rPr>
                <w:lang w:val="bg-BG"/>
              </w:rPr>
              <w:t xml:space="preserve"> мерки по ОРГО в Регистъра на Европейската комисия</w:t>
            </w:r>
            <w:r w:rsidRPr="007C4468">
              <w:rPr>
                <w:lang w:val="bg-BG"/>
              </w:rPr>
              <w:t>, могат да бъдат намерени на следния електронен адрес:</w:t>
            </w:r>
          </w:p>
          <w:p w:rsidR="00ED0450" w:rsidRPr="007C4468" w:rsidRDefault="00ED0450"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http://ec.europa.eu/competition/elojade/isef/index.cfm?fuseaction=dsp_result&amp;policy_area_id=3&amp;case_number=X%25&amp;webpub_date_from=17/09/2015&amp;webpub_date_to=24/09/2015</w:t>
            </w:r>
          </w:p>
          <w:p w:rsidR="00221E6C" w:rsidRPr="007C4468" w:rsidRDefault="00221E6C" w:rsidP="009B78BB">
            <w:pPr>
              <w:pStyle w:val="ListParagraph"/>
              <w:ind w:left="927"/>
              <w:jc w:val="both"/>
              <w:rPr>
                <w:rStyle w:val="Hyperlink"/>
                <w:rFonts w:asciiTheme="majorHAnsi" w:hAnsiTheme="majorHAnsi"/>
                <w:b/>
                <w:sz w:val="22"/>
                <w:szCs w:val="22"/>
                <w:lang w:val="bg-BG"/>
              </w:rPr>
            </w:pPr>
          </w:p>
          <w:p w:rsidR="00221E6C" w:rsidRPr="007C4468" w:rsidRDefault="00221E6C"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Решения на Съда на Европейския съюз по дела за държавна помощ </w:t>
            </w:r>
          </w:p>
          <w:tbl>
            <w:tblPr>
              <w:tblStyle w:val="TableGrid"/>
              <w:tblW w:w="7981" w:type="dxa"/>
              <w:tblLayout w:type="fixed"/>
              <w:tblLook w:val="04A0" w:firstRow="1" w:lastRow="0" w:firstColumn="1" w:lastColumn="0" w:noHBand="0" w:noVBand="1"/>
            </w:tblPr>
            <w:tblGrid>
              <w:gridCol w:w="1588"/>
              <w:gridCol w:w="1857"/>
              <w:gridCol w:w="1857"/>
              <w:gridCol w:w="1404"/>
              <w:gridCol w:w="1275"/>
            </w:tblGrid>
            <w:tr w:rsidR="00221E6C" w:rsidRPr="007C4468" w:rsidTr="00ED5BA6">
              <w:trPr>
                <w:trHeight w:val="579"/>
              </w:trPr>
              <w:tc>
                <w:tcPr>
                  <w:tcW w:w="1588"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Държава</w:t>
                  </w:r>
                </w:p>
              </w:tc>
              <w:tc>
                <w:tcPr>
                  <w:tcW w:w="1857"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Съдебен случай</w:t>
                  </w:r>
                </w:p>
              </w:tc>
              <w:tc>
                <w:tcPr>
                  <w:tcW w:w="1857"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Заглавие</w:t>
                  </w:r>
                </w:p>
              </w:tc>
              <w:tc>
                <w:tcPr>
                  <w:tcW w:w="1404"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Вид на акта</w:t>
                  </w:r>
                </w:p>
              </w:tc>
              <w:tc>
                <w:tcPr>
                  <w:tcW w:w="1275"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Дата</w:t>
                  </w:r>
                </w:p>
              </w:tc>
            </w:tr>
            <w:tr w:rsidR="00221E6C" w:rsidRPr="007C4468" w:rsidTr="00ED5BA6">
              <w:trPr>
                <w:trHeight w:val="417"/>
              </w:trPr>
              <w:tc>
                <w:tcPr>
                  <w:tcW w:w="1588" w:type="dxa"/>
                  <w:shd w:val="clear" w:color="auto" w:fill="FFFFFF" w:themeFill="background1"/>
                </w:tcPr>
                <w:p w:rsidR="00221E6C" w:rsidRPr="007C4468" w:rsidRDefault="0048453A" w:rsidP="002B4B45">
                  <w:pPr>
                    <w:jc w:val="center"/>
                    <w:rPr>
                      <w:rFonts w:asciiTheme="majorHAnsi" w:hAnsiTheme="majorHAnsi"/>
                      <w:b/>
                      <w:sz w:val="22"/>
                      <w:szCs w:val="22"/>
                      <w:lang w:val="bg-BG"/>
                    </w:rPr>
                  </w:pPr>
                  <w:r w:rsidRPr="007C4468">
                    <w:rPr>
                      <w:rFonts w:asciiTheme="majorHAnsi" w:hAnsiTheme="majorHAnsi"/>
                      <w:b/>
                      <w:sz w:val="22"/>
                      <w:szCs w:val="22"/>
                      <w:lang w:val="bg-BG"/>
                    </w:rPr>
                    <w:t>Италия</w:t>
                  </w:r>
                </w:p>
              </w:tc>
              <w:tc>
                <w:tcPr>
                  <w:tcW w:w="1857" w:type="dxa"/>
                  <w:shd w:val="clear" w:color="auto" w:fill="FFFFFF" w:themeFill="background1"/>
                </w:tcPr>
                <w:p w:rsidR="00221E6C" w:rsidRPr="007C4468" w:rsidRDefault="00221E6C" w:rsidP="0048453A">
                  <w:pPr>
                    <w:jc w:val="center"/>
                    <w:rPr>
                      <w:rFonts w:asciiTheme="minorHAnsi" w:hAnsiTheme="minorHAnsi"/>
                      <w:lang w:val="bg-BG"/>
                    </w:rPr>
                  </w:pPr>
                  <w:r w:rsidRPr="007C4468">
                    <w:rPr>
                      <w:rFonts w:asciiTheme="minorHAnsi" w:hAnsiTheme="minorHAnsi"/>
                      <w:lang w:val="bg-BG"/>
                    </w:rPr>
                    <w:t>C-</w:t>
                  </w:r>
                  <w:r w:rsidR="0048453A" w:rsidRPr="007C4468">
                    <w:rPr>
                      <w:rFonts w:asciiTheme="minorHAnsi" w:hAnsiTheme="minorHAnsi"/>
                      <w:lang w:val="bg-BG"/>
                    </w:rPr>
                    <w:t>89</w:t>
                  </w:r>
                  <w:r w:rsidRPr="007C4468">
                    <w:rPr>
                      <w:rFonts w:asciiTheme="minorHAnsi" w:hAnsiTheme="minorHAnsi"/>
                      <w:lang w:val="bg-BG"/>
                    </w:rPr>
                    <w:t>/14</w:t>
                  </w:r>
                  <w:r w:rsidR="001E6F89" w:rsidRPr="007C4468">
                    <w:rPr>
                      <w:rFonts w:asciiTheme="minorHAnsi" w:hAnsiTheme="minorHAnsi"/>
                      <w:vertAlign w:val="superscript"/>
                      <w:lang w:val="bg-BG"/>
                    </w:rPr>
                    <w:footnoteReference w:id="29"/>
                  </w:r>
                </w:p>
              </w:tc>
              <w:tc>
                <w:tcPr>
                  <w:tcW w:w="1857" w:type="dxa"/>
                  <w:shd w:val="clear" w:color="auto" w:fill="FFFFFF" w:themeFill="background1"/>
                </w:tcPr>
                <w:p w:rsidR="00221E6C" w:rsidRPr="007C4468" w:rsidRDefault="0048453A" w:rsidP="001C1036">
                  <w:pPr>
                    <w:jc w:val="center"/>
                    <w:rPr>
                      <w:rFonts w:asciiTheme="minorHAnsi" w:hAnsiTheme="minorHAnsi"/>
                      <w:lang w:val="bg-BG"/>
                    </w:rPr>
                  </w:pPr>
                  <w:r w:rsidRPr="007C4468">
                    <w:rPr>
                      <w:rFonts w:asciiTheme="minorHAnsi" w:hAnsiTheme="minorHAnsi"/>
                      <w:lang w:val="bg-BG"/>
                    </w:rPr>
                    <w:t>А2А</w:t>
                  </w:r>
                </w:p>
              </w:tc>
              <w:tc>
                <w:tcPr>
                  <w:tcW w:w="1404" w:type="dxa"/>
                  <w:shd w:val="clear" w:color="auto" w:fill="FFFFFF" w:themeFill="background1"/>
                </w:tcPr>
                <w:p w:rsidR="00221E6C" w:rsidRPr="007C4468" w:rsidRDefault="0048453A" w:rsidP="001C1036">
                  <w:pPr>
                    <w:jc w:val="center"/>
                    <w:rPr>
                      <w:rFonts w:asciiTheme="majorHAnsi" w:hAnsiTheme="majorHAnsi"/>
                      <w:sz w:val="22"/>
                      <w:szCs w:val="22"/>
                      <w:lang w:val="bg-BG"/>
                    </w:rPr>
                  </w:pPr>
                  <w:r w:rsidRPr="007C4468">
                    <w:rPr>
                      <w:rFonts w:asciiTheme="majorHAnsi" w:hAnsiTheme="majorHAnsi"/>
                      <w:sz w:val="22"/>
                      <w:szCs w:val="22"/>
                      <w:lang w:val="bg-BG"/>
                    </w:rPr>
                    <w:t>Решение</w:t>
                  </w:r>
                </w:p>
              </w:tc>
              <w:tc>
                <w:tcPr>
                  <w:tcW w:w="1275" w:type="dxa"/>
                  <w:shd w:val="clear" w:color="auto" w:fill="FFFFFF" w:themeFill="background1"/>
                </w:tcPr>
                <w:p w:rsidR="00221E6C" w:rsidRPr="007C4468" w:rsidRDefault="00221E6C" w:rsidP="0048453A">
                  <w:pPr>
                    <w:rPr>
                      <w:rFonts w:asciiTheme="majorHAnsi" w:hAnsiTheme="majorHAnsi"/>
                      <w:lang w:val="bg-BG"/>
                    </w:rPr>
                  </w:pPr>
                  <w:r w:rsidRPr="007C4468">
                    <w:rPr>
                      <w:rFonts w:asciiTheme="majorHAnsi" w:hAnsiTheme="majorHAnsi"/>
                      <w:lang w:val="bg-BG"/>
                    </w:rPr>
                    <w:t>0</w:t>
                  </w:r>
                  <w:r w:rsidR="0048453A" w:rsidRPr="007C4468">
                    <w:rPr>
                      <w:rFonts w:asciiTheme="majorHAnsi" w:hAnsiTheme="majorHAnsi"/>
                      <w:lang w:val="bg-BG"/>
                    </w:rPr>
                    <w:t>3</w:t>
                  </w:r>
                  <w:r w:rsidRPr="007C4468">
                    <w:rPr>
                      <w:rFonts w:asciiTheme="majorHAnsi" w:hAnsiTheme="majorHAnsi"/>
                      <w:lang w:val="bg-BG"/>
                    </w:rPr>
                    <w:t>.0</w:t>
                  </w:r>
                  <w:r w:rsidR="0048453A" w:rsidRPr="007C4468">
                    <w:rPr>
                      <w:rFonts w:asciiTheme="majorHAnsi" w:hAnsiTheme="majorHAnsi"/>
                      <w:lang w:val="bg-BG"/>
                    </w:rPr>
                    <w:t>9</w:t>
                  </w:r>
                  <w:r w:rsidRPr="007C4468">
                    <w:rPr>
                      <w:rFonts w:asciiTheme="majorHAnsi" w:hAnsiTheme="majorHAnsi"/>
                      <w:lang w:val="bg-BG"/>
                    </w:rPr>
                    <w:t>.2015</w:t>
                  </w:r>
                </w:p>
              </w:tc>
            </w:tr>
            <w:tr w:rsidR="00221E6C" w:rsidRPr="007C4468" w:rsidTr="00ED5BA6">
              <w:trPr>
                <w:trHeight w:val="417"/>
              </w:trPr>
              <w:tc>
                <w:tcPr>
                  <w:tcW w:w="1588" w:type="dxa"/>
                  <w:shd w:val="clear" w:color="auto" w:fill="FFFFFF" w:themeFill="background1"/>
                </w:tcPr>
                <w:p w:rsidR="005F6FB8" w:rsidRPr="007C4468" w:rsidRDefault="005F6FB8" w:rsidP="00F553D4">
                  <w:pPr>
                    <w:jc w:val="center"/>
                    <w:rPr>
                      <w:rFonts w:asciiTheme="majorHAnsi" w:hAnsiTheme="majorHAnsi"/>
                      <w:b/>
                      <w:sz w:val="22"/>
                      <w:szCs w:val="22"/>
                      <w:lang w:val="bg-BG"/>
                    </w:rPr>
                  </w:pPr>
                </w:p>
                <w:p w:rsidR="00F553D4" w:rsidRPr="007C4468" w:rsidRDefault="005F6FB8" w:rsidP="00F553D4">
                  <w:pPr>
                    <w:jc w:val="center"/>
                    <w:rPr>
                      <w:rFonts w:asciiTheme="majorHAnsi" w:hAnsiTheme="majorHAnsi"/>
                      <w:b/>
                      <w:sz w:val="22"/>
                      <w:szCs w:val="22"/>
                      <w:lang w:val="bg-BG"/>
                    </w:rPr>
                  </w:pPr>
                  <w:r w:rsidRPr="007C4468">
                    <w:rPr>
                      <w:rFonts w:asciiTheme="majorHAnsi" w:hAnsiTheme="majorHAnsi"/>
                      <w:b/>
                      <w:sz w:val="22"/>
                      <w:szCs w:val="22"/>
                      <w:lang w:val="bg-BG"/>
                    </w:rPr>
                    <w:t>Франция</w:t>
                  </w:r>
                </w:p>
              </w:tc>
              <w:tc>
                <w:tcPr>
                  <w:tcW w:w="1857" w:type="dxa"/>
                  <w:shd w:val="clear" w:color="auto" w:fill="FFFFFF" w:themeFill="background1"/>
                </w:tcPr>
                <w:p w:rsidR="00F553D4" w:rsidRPr="007C4468" w:rsidRDefault="00F553D4" w:rsidP="00F553D4">
                  <w:pPr>
                    <w:jc w:val="center"/>
                    <w:rPr>
                      <w:rFonts w:asciiTheme="minorHAnsi" w:hAnsiTheme="minorHAnsi"/>
                      <w:lang w:val="bg-BG"/>
                    </w:rPr>
                  </w:pPr>
                  <w:r w:rsidRPr="007C4468">
                    <w:rPr>
                      <w:rFonts w:asciiTheme="minorHAnsi" w:hAnsiTheme="minorHAnsi"/>
                      <w:lang w:val="bg-BG"/>
                    </w:rPr>
                    <w:t>C-33/14 P</w:t>
                  </w:r>
                  <w:r w:rsidRPr="007C4468">
                    <w:rPr>
                      <w:rFonts w:asciiTheme="minorHAnsi" w:hAnsiTheme="minorHAnsi"/>
                      <w:vertAlign w:val="superscript"/>
                      <w:lang w:val="bg-BG"/>
                    </w:rPr>
                    <w:footnoteReference w:id="30"/>
                  </w:r>
                  <w:r w:rsidRPr="007C4468">
                    <w:rPr>
                      <w:rFonts w:asciiTheme="minorHAnsi" w:hAnsiTheme="minorHAnsi"/>
                      <w:lang w:val="bg-BG"/>
                    </w:rPr>
                    <w:t xml:space="preserve"> </w:t>
                  </w:r>
                </w:p>
                <w:p w:rsidR="00221E6C" w:rsidRPr="007C4468" w:rsidRDefault="00221E6C" w:rsidP="001C1036">
                  <w:pPr>
                    <w:jc w:val="center"/>
                    <w:rPr>
                      <w:rFonts w:asciiTheme="minorHAnsi" w:hAnsiTheme="minorHAnsi"/>
                      <w:highlight w:val="yellow"/>
                      <w:lang w:val="bg-BG"/>
                    </w:rPr>
                  </w:pPr>
                </w:p>
              </w:tc>
              <w:tc>
                <w:tcPr>
                  <w:tcW w:w="1857" w:type="dxa"/>
                  <w:shd w:val="clear" w:color="auto" w:fill="FFFFFF" w:themeFill="background1"/>
                </w:tcPr>
                <w:p w:rsidR="00221E6C" w:rsidRPr="007C4468" w:rsidRDefault="00C500DC" w:rsidP="001C1036">
                  <w:pPr>
                    <w:jc w:val="center"/>
                    <w:rPr>
                      <w:rFonts w:asciiTheme="minorHAnsi" w:hAnsiTheme="minorHAnsi"/>
                      <w:lang w:val="bg-BG"/>
                    </w:rPr>
                  </w:pPr>
                  <w:r w:rsidRPr="007C4468">
                    <w:rPr>
                      <w:rFonts w:asciiTheme="minorHAnsi" w:hAnsiTheme="minorHAnsi"/>
                      <w:lang w:val="bg-BG"/>
                    </w:rPr>
                    <w:t>Mory and Others v Commission</w:t>
                  </w:r>
                </w:p>
              </w:tc>
              <w:tc>
                <w:tcPr>
                  <w:tcW w:w="1404" w:type="dxa"/>
                  <w:shd w:val="clear" w:color="auto" w:fill="FFFFFF" w:themeFill="background1"/>
                </w:tcPr>
                <w:p w:rsidR="00221E6C" w:rsidRPr="007C4468" w:rsidRDefault="00C500DC" w:rsidP="001C1036">
                  <w:pPr>
                    <w:jc w:val="center"/>
                    <w:rPr>
                      <w:rFonts w:asciiTheme="majorHAnsi" w:hAnsiTheme="majorHAnsi"/>
                      <w:sz w:val="22"/>
                      <w:szCs w:val="22"/>
                      <w:lang w:val="bg-BG"/>
                    </w:rPr>
                  </w:pPr>
                  <w:r w:rsidRPr="007C4468">
                    <w:rPr>
                      <w:rFonts w:asciiTheme="majorHAnsi" w:hAnsiTheme="majorHAnsi"/>
                      <w:sz w:val="22"/>
                      <w:szCs w:val="22"/>
                      <w:lang w:val="bg-BG"/>
                    </w:rPr>
                    <w:t>Решение</w:t>
                  </w:r>
                </w:p>
              </w:tc>
              <w:tc>
                <w:tcPr>
                  <w:tcW w:w="1275" w:type="dxa"/>
                  <w:shd w:val="clear" w:color="auto" w:fill="FFFFFF" w:themeFill="background1"/>
                </w:tcPr>
                <w:p w:rsidR="00221E6C" w:rsidRPr="007C4468" w:rsidRDefault="00C500DC" w:rsidP="00ED5BA6">
                  <w:pPr>
                    <w:rPr>
                      <w:rFonts w:asciiTheme="majorHAnsi" w:hAnsiTheme="majorHAnsi"/>
                      <w:highlight w:val="yellow"/>
                      <w:lang w:val="bg-BG"/>
                    </w:rPr>
                  </w:pPr>
                  <w:r w:rsidRPr="007C4468">
                    <w:rPr>
                      <w:rFonts w:asciiTheme="majorHAnsi" w:hAnsiTheme="majorHAnsi"/>
                      <w:lang w:val="bg-BG"/>
                    </w:rPr>
                    <w:t>17.09.2015</w:t>
                  </w:r>
                </w:p>
              </w:tc>
            </w:tr>
            <w:tr w:rsidR="00221E6C" w:rsidRPr="007C4468" w:rsidTr="00ED5BA6">
              <w:trPr>
                <w:trHeight w:val="417"/>
              </w:trPr>
              <w:tc>
                <w:tcPr>
                  <w:tcW w:w="1588" w:type="dxa"/>
                  <w:shd w:val="clear" w:color="auto" w:fill="FFFFFF" w:themeFill="background1"/>
                </w:tcPr>
                <w:p w:rsidR="00221E6C" w:rsidRPr="007C4468" w:rsidRDefault="005F6FB8" w:rsidP="002B4B45">
                  <w:pPr>
                    <w:jc w:val="center"/>
                    <w:rPr>
                      <w:rFonts w:asciiTheme="majorHAnsi" w:hAnsiTheme="majorHAnsi"/>
                      <w:b/>
                      <w:sz w:val="22"/>
                      <w:szCs w:val="22"/>
                      <w:lang w:val="bg-BG"/>
                    </w:rPr>
                  </w:pPr>
                  <w:r w:rsidRPr="007C4468">
                    <w:rPr>
                      <w:rFonts w:asciiTheme="majorHAnsi" w:hAnsiTheme="majorHAnsi"/>
                      <w:b/>
                      <w:sz w:val="22"/>
                      <w:szCs w:val="22"/>
                      <w:lang w:val="bg-BG"/>
                    </w:rPr>
                    <w:t xml:space="preserve">Италия  </w:t>
                  </w:r>
                </w:p>
              </w:tc>
              <w:tc>
                <w:tcPr>
                  <w:tcW w:w="1857" w:type="dxa"/>
                  <w:shd w:val="clear" w:color="auto" w:fill="FFFFFF" w:themeFill="background1"/>
                </w:tcPr>
                <w:p w:rsidR="00F553D4" w:rsidRPr="007C4468" w:rsidRDefault="00F553D4" w:rsidP="00F553D4">
                  <w:pPr>
                    <w:jc w:val="center"/>
                    <w:rPr>
                      <w:rFonts w:asciiTheme="minorHAnsi" w:hAnsiTheme="minorHAnsi"/>
                      <w:lang w:val="bg-BG"/>
                    </w:rPr>
                  </w:pPr>
                  <w:r w:rsidRPr="007C4468">
                    <w:rPr>
                      <w:rFonts w:asciiTheme="minorHAnsi" w:hAnsiTheme="minorHAnsi"/>
                      <w:lang w:val="bg-BG"/>
                    </w:rPr>
                    <w:t>C-367/14</w:t>
                  </w:r>
                  <w:r w:rsidRPr="007C4468">
                    <w:rPr>
                      <w:rFonts w:asciiTheme="minorHAnsi" w:hAnsiTheme="minorHAnsi"/>
                      <w:vertAlign w:val="superscript"/>
                      <w:lang w:val="bg-BG"/>
                    </w:rPr>
                    <w:footnoteReference w:id="31"/>
                  </w:r>
                  <w:r w:rsidRPr="007C4468">
                    <w:rPr>
                      <w:rFonts w:asciiTheme="minorHAnsi" w:hAnsiTheme="minorHAnsi"/>
                      <w:lang w:val="bg-BG"/>
                    </w:rPr>
                    <w:t xml:space="preserve"> </w:t>
                  </w:r>
                </w:p>
                <w:p w:rsidR="00221E6C" w:rsidRPr="007C4468" w:rsidRDefault="00221E6C" w:rsidP="001C1036">
                  <w:pPr>
                    <w:jc w:val="center"/>
                    <w:rPr>
                      <w:rFonts w:asciiTheme="minorHAnsi" w:hAnsiTheme="minorHAnsi"/>
                      <w:highlight w:val="yellow"/>
                      <w:lang w:val="bg-BG"/>
                    </w:rPr>
                  </w:pPr>
                </w:p>
              </w:tc>
              <w:tc>
                <w:tcPr>
                  <w:tcW w:w="1857" w:type="dxa"/>
                  <w:shd w:val="clear" w:color="auto" w:fill="FFFFFF" w:themeFill="background1"/>
                </w:tcPr>
                <w:p w:rsidR="00221E6C" w:rsidRPr="007C4468" w:rsidRDefault="005F6FB8" w:rsidP="00C500DC">
                  <w:pPr>
                    <w:rPr>
                      <w:rFonts w:asciiTheme="minorHAnsi" w:hAnsiTheme="minorHAnsi"/>
                      <w:highlight w:val="yellow"/>
                      <w:lang w:val="bg-BG"/>
                    </w:rPr>
                  </w:pPr>
                  <w:r w:rsidRPr="007C4468">
                    <w:rPr>
                      <w:rFonts w:asciiTheme="minorHAnsi" w:hAnsiTheme="minorHAnsi"/>
                      <w:lang w:val="bg-BG"/>
                    </w:rPr>
                    <w:t xml:space="preserve">Commission v Italy </w:t>
                  </w:r>
                </w:p>
              </w:tc>
              <w:tc>
                <w:tcPr>
                  <w:tcW w:w="1404" w:type="dxa"/>
                  <w:shd w:val="clear" w:color="auto" w:fill="FFFFFF" w:themeFill="background1"/>
                </w:tcPr>
                <w:p w:rsidR="00221E6C" w:rsidRPr="007C4468" w:rsidRDefault="00C500DC" w:rsidP="001C1036">
                  <w:pPr>
                    <w:jc w:val="center"/>
                    <w:rPr>
                      <w:rFonts w:asciiTheme="majorHAnsi" w:hAnsiTheme="majorHAnsi"/>
                      <w:sz w:val="22"/>
                      <w:szCs w:val="22"/>
                      <w:lang w:val="bg-BG"/>
                    </w:rPr>
                  </w:pPr>
                  <w:r w:rsidRPr="007C4468">
                    <w:rPr>
                      <w:rFonts w:asciiTheme="majorHAnsi" w:hAnsiTheme="majorHAnsi"/>
                      <w:sz w:val="22"/>
                      <w:szCs w:val="22"/>
                      <w:lang w:val="bg-BG"/>
                    </w:rPr>
                    <w:t>Решение</w:t>
                  </w:r>
                </w:p>
              </w:tc>
              <w:tc>
                <w:tcPr>
                  <w:tcW w:w="1275" w:type="dxa"/>
                  <w:shd w:val="clear" w:color="auto" w:fill="FFFFFF" w:themeFill="background1"/>
                </w:tcPr>
                <w:p w:rsidR="00221E6C" w:rsidRPr="007C4468" w:rsidRDefault="00C500DC" w:rsidP="00ED5BA6">
                  <w:pPr>
                    <w:rPr>
                      <w:rFonts w:asciiTheme="majorHAnsi" w:hAnsiTheme="majorHAnsi"/>
                      <w:highlight w:val="yellow"/>
                      <w:lang w:val="bg-BG"/>
                    </w:rPr>
                  </w:pPr>
                  <w:r w:rsidRPr="007C4468">
                    <w:rPr>
                      <w:rFonts w:asciiTheme="majorHAnsi" w:hAnsiTheme="majorHAnsi"/>
                      <w:lang w:val="bg-BG"/>
                    </w:rPr>
                    <w:t>17.09.2015</w:t>
                  </w:r>
                </w:p>
              </w:tc>
            </w:tr>
            <w:tr w:rsidR="005B06E9" w:rsidRPr="007C4468" w:rsidTr="00ED5BA6">
              <w:trPr>
                <w:trHeight w:val="417"/>
              </w:trPr>
              <w:tc>
                <w:tcPr>
                  <w:tcW w:w="1588" w:type="dxa"/>
                  <w:shd w:val="clear" w:color="auto" w:fill="FFFFFF" w:themeFill="background1"/>
                </w:tcPr>
                <w:p w:rsidR="005B06E9" w:rsidRPr="007C4468" w:rsidRDefault="00ED0450" w:rsidP="002B4B45">
                  <w:pPr>
                    <w:jc w:val="center"/>
                    <w:rPr>
                      <w:rFonts w:asciiTheme="majorHAnsi" w:hAnsiTheme="majorHAnsi"/>
                      <w:b/>
                      <w:sz w:val="22"/>
                      <w:szCs w:val="22"/>
                      <w:lang w:val="bg-BG"/>
                    </w:rPr>
                  </w:pPr>
                  <w:r w:rsidRPr="007C4468">
                    <w:rPr>
                      <w:rFonts w:asciiTheme="majorHAnsi" w:hAnsiTheme="majorHAnsi"/>
                      <w:b/>
                      <w:sz w:val="22"/>
                      <w:szCs w:val="22"/>
                      <w:lang w:val="bg-BG"/>
                    </w:rPr>
                    <w:t>Полша</w:t>
                  </w:r>
                </w:p>
              </w:tc>
              <w:tc>
                <w:tcPr>
                  <w:tcW w:w="1857" w:type="dxa"/>
                  <w:shd w:val="clear" w:color="auto" w:fill="FFFFFF" w:themeFill="background1"/>
                </w:tcPr>
                <w:p w:rsidR="005B06E9" w:rsidRPr="007C4468" w:rsidRDefault="0055742C" w:rsidP="00E23FA4">
                  <w:pPr>
                    <w:jc w:val="center"/>
                    <w:rPr>
                      <w:rFonts w:asciiTheme="minorHAnsi" w:hAnsiTheme="minorHAnsi"/>
                      <w:lang w:val="bg-BG"/>
                    </w:rPr>
                  </w:pPr>
                  <w:r w:rsidRPr="007C4468">
                    <w:rPr>
                      <w:rFonts w:asciiTheme="minorHAnsi" w:hAnsiTheme="minorHAnsi"/>
                      <w:lang w:val="bg-BG"/>
                    </w:rPr>
                    <w:t>T-1/08 INTP</w:t>
                  </w:r>
                  <w:r w:rsidRPr="007C4468">
                    <w:rPr>
                      <w:rStyle w:val="FootnoteReference"/>
                      <w:rFonts w:asciiTheme="minorHAnsi" w:hAnsiTheme="minorHAnsi"/>
                      <w:lang w:val="bg-BG"/>
                    </w:rPr>
                    <w:footnoteReference w:id="32"/>
                  </w:r>
                </w:p>
              </w:tc>
              <w:tc>
                <w:tcPr>
                  <w:tcW w:w="1857" w:type="dxa"/>
                  <w:shd w:val="clear" w:color="auto" w:fill="FFFFFF" w:themeFill="background1"/>
                </w:tcPr>
                <w:p w:rsidR="005B06E9" w:rsidRPr="007C4468" w:rsidRDefault="0055742C" w:rsidP="001C1036">
                  <w:pPr>
                    <w:jc w:val="center"/>
                    <w:rPr>
                      <w:rFonts w:asciiTheme="minorHAnsi" w:hAnsiTheme="minorHAnsi"/>
                      <w:lang w:val="bg-BG"/>
                    </w:rPr>
                  </w:pPr>
                  <w:r w:rsidRPr="007C4468">
                    <w:rPr>
                      <w:rFonts w:asciiTheme="minorHAnsi" w:hAnsiTheme="minorHAnsi"/>
                      <w:lang w:val="bg-BG"/>
                    </w:rPr>
                    <w:t>Buczek Automotive v Commission</w:t>
                  </w:r>
                </w:p>
              </w:tc>
              <w:tc>
                <w:tcPr>
                  <w:tcW w:w="1404" w:type="dxa"/>
                  <w:shd w:val="clear" w:color="auto" w:fill="FFFFFF" w:themeFill="background1"/>
                </w:tcPr>
                <w:p w:rsidR="005B06E9" w:rsidRPr="007C4468" w:rsidRDefault="0055742C" w:rsidP="001C1036">
                  <w:pPr>
                    <w:jc w:val="center"/>
                    <w:rPr>
                      <w:rFonts w:asciiTheme="majorHAnsi" w:hAnsiTheme="majorHAnsi"/>
                      <w:sz w:val="22"/>
                      <w:szCs w:val="22"/>
                      <w:lang w:val="bg-BG"/>
                    </w:rPr>
                  </w:pPr>
                  <w:r w:rsidRPr="007C4468">
                    <w:rPr>
                      <w:rFonts w:asciiTheme="majorHAnsi" w:hAnsiTheme="majorHAnsi"/>
                      <w:sz w:val="22"/>
                      <w:szCs w:val="22"/>
                      <w:lang w:val="bg-BG"/>
                    </w:rPr>
                    <w:t>Решение</w:t>
                  </w:r>
                </w:p>
              </w:tc>
              <w:tc>
                <w:tcPr>
                  <w:tcW w:w="1275" w:type="dxa"/>
                  <w:shd w:val="clear" w:color="auto" w:fill="FFFFFF" w:themeFill="background1"/>
                </w:tcPr>
                <w:p w:rsidR="005B06E9" w:rsidRPr="007C4468" w:rsidRDefault="0055742C" w:rsidP="00ED5BA6">
                  <w:pPr>
                    <w:rPr>
                      <w:rFonts w:asciiTheme="majorHAnsi" w:hAnsiTheme="majorHAnsi"/>
                      <w:lang w:val="bg-BG"/>
                    </w:rPr>
                  </w:pPr>
                  <w:r w:rsidRPr="007C4468">
                    <w:rPr>
                      <w:rFonts w:asciiTheme="majorHAnsi" w:hAnsiTheme="majorHAnsi"/>
                      <w:lang w:val="bg-BG"/>
                    </w:rPr>
                    <w:t>18.09.2015</w:t>
                  </w:r>
                </w:p>
              </w:tc>
            </w:tr>
            <w:tr w:rsidR="00E23FA4" w:rsidRPr="007C4468" w:rsidTr="00ED5BA6">
              <w:trPr>
                <w:trHeight w:val="417"/>
              </w:trPr>
              <w:tc>
                <w:tcPr>
                  <w:tcW w:w="1588" w:type="dxa"/>
                  <w:shd w:val="clear" w:color="auto" w:fill="FFFFFF" w:themeFill="background1"/>
                </w:tcPr>
                <w:p w:rsidR="00E23FA4" w:rsidRPr="007C4468" w:rsidRDefault="00ED0450" w:rsidP="002B4B45">
                  <w:pPr>
                    <w:jc w:val="center"/>
                    <w:rPr>
                      <w:rFonts w:asciiTheme="majorHAnsi" w:hAnsiTheme="majorHAnsi"/>
                      <w:b/>
                      <w:sz w:val="22"/>
                      <w:szCs w:val="22"/>
                      <w:lang w:val="bg-BG"/>
                    </w:rPr>
                  </w:pPr>
                  <w:r w:rsidRPr="007C4468">
                    <w:rPr>
                      <w:rFonts w:asciiTheme="majorHAnsi" w:hAnsiTheme="majorHAnsi"/>
                      <w:b/>
                      <w:sz w:val="22"/>
                      <w:szCs w:val="22"/>
                      <w:lang w:val="bg-BG"/>
                    </w:rPr>
                    <w:t>Германия</w:t>
                  </w:r>
                </w:p>
              </w:tc>
              <w:tc>
                <w:tcPr>
                  <w:tcW w:w="1857" w:type="dxa"/>
                  <w:shd w:val="clear" w:color="auto" w:fill="FFFFFF" w:themeFill="background1"/>
                </w:tcPr>
                <w:p w:rsidR="00E23FA4" w:rsidRPr="007C4468" w:rsidRDefault="0055742C" w:rsidP="001C1036">
                  <w:pPr>
                    <w:jc w:val="center"/>
                    <w:rPr>
                      <w:rFonts w:asciiTheme="minorHAnsi" w:hAnsiTheme="minorHAnsi"/>
                      <w:lang w:val="bg-BG"/>
                    </w:rPr>
                  </w:pPr>
                  <w:r w:rsidRPr="007C4468">
                    <w:rPr>
                      <w:rFonts w:asciiTheme="minorHAnsi" w:hAnsiTheme="minorHAnsi"/>
                      <w:lang w:val="bg-BG"/>
                    </w:rPr>
                    <w:t>T-421/07 RENV</w:t>
                  </w:r>
                  <w:r w:rsidRPr="007C4468">
                    <w:rPr>
                      <w:rStyle w:val="FootnoteReference"/>
                      <w:rFonts w:asciiTheme="minorHAnsi" w:hAnsiTheme="minorHAnsi"/>
                      <w:lang w:val="bg-BG"/>
                    </w:rPr>
                    <w:footnoteReference w:id="33"/>
                  </w:r>
                </w:p>
              </w:tc>
              <w:tc>
                <w:tcPr>
                  <w:tcW w:w="1857" w:type="dxa"/>
                  <w:shd w:val="clear" w:color="auto" w:fill="FFFFFF" w:themeFill="background1"/>
                </w:tcPr>
                <w:p w:rsidR="00E23FA4" w:rsidRPr="007C4468" w:rsidRDefault="0055742C" w:rsidP="001C1036">
                  <w:pPr>
                    <w:jc w:val="center"/>
                    <w:rPr>
                      <w:rFonts w:asciiTheme="minorHAnsi" w:hAnsiTheme="minorHAnsi"/>
                      <w:lang w:val="bg-BG"/>
                    </w:rPr>
                  </w:pPr>
                  <w:r w:rsidRPr="007C4468">
                    <w:rPr>
                      <w:rFonts w:asciiTheme="minorHAnsi" w:hAnsiTheme="minorHAnsi"/>
                      <w:lang w:val="bg-BG"/>
                    </w:rPr>
                    <w:t>Deutsche Post v Commission</w:t>
                  </w:r>
                </w:p>
              </w:tc>
              <w:tc>
                <w:tcPr>
                  <w:tcW w:w="1404" w:type="dxa"/>
                  <w:shd w:val="clear" w:color="auto" w:fill="FFFFFF" w:themeFill="background1"/>
                </w:tcPr>
                <w:p w:rsidR="00E23FA4" w:rsidRPr="007C4468" w:rsidRDefault="0055742C" w:rsidP="001C1036">
                  <w:pPr>
                    <w:jc w:val="center"/>
                    <w:rPr>
                      <w:rFonts w:asciiTheme="majorHAnsi" w:hAnsiTheme="majorHAnsi"/>
                      <w:sz w:val="22"/>
                      <w:szCs w:val="22"/>
                      <w:lang w:val="bg-BG"/>
                    </w:rPr>
                  </w:pPr>
                  <w:r w:rsidRPr="007C4468">
                    <w:rPr>
                      <w:rFonts w:asciiTheme="majorHAnsi" w:hAnsiTheme="majorHAnsi"/>
                      <w:sz w:val="22"/>
                      <w:szCs w:val="22"/>
                      <w:lang w:val="bg-BG"/>
                    </w:rPr>
                    <w:t xml:space="preserve">Решение </w:t>
                  </w:r>
                </w:p>
              </w:tc>
              <w:tc>
                <w:tcPr>
                  <w:tcW w:w="1275" w:type="dxa"/>
                  <w:shd w:val="clear" w:color="auto" w:fill="FFFFFF" w:themeFill="background1"/>
                </w:tcPr>
                <w:p w:rsidR="00E23FA4" w:rsidRPr="007C4468" w:rsidRDefault="0055742C" w:rsidP="00ED5BA6">
                  <w:pPr>
                    <w:rPr>
                      <w:rFonts w:asciiTheme="majorHAnsi" w:hAnsiTheme="majorHAnsi"/>
                      <w:lang w:val="bg-BG"/>
                    </w:rPr>
                  </w:pPr>
                  <w:r w:rsidRPr="007C4468">
                    <w:rPr>
                      <w:rFonts w:asciiTheme="majorHAnsi" w:hAnsiTheme="majorHAnsi"/>
                      <w:lang w:val="bg-BG"/>
                    </w:rPr>
                    <w:t>18.09.2015</w:t>
                  </w:r>
                </w:p>
              </w:tc>
            </w:tr>
            <w:tr w:rsidR="00ED0450" w:rsidRPr="007C4468" w:rsidTr="00ED5BA6">
              <w:trPr>
                <w:trHeight w:val="417"/>
              </w:trPr>
              <w:tc>
                <w:tcPr>
                  <w:tcW w:w="1588" w:type="dxa"/>
                  <w:shd w:val="clear" w:color="auto" w:fill="FFFFFF" w:themeFill="background1"/>
                </w:tcPr>
                <w:p w:rsidR="00ED0450" w:rsidRPr="007C4468" w:rsidRDefault="00ED0450" w:rsidP="002B4B45">
                  <w:pPr>
                    <w:jc w:val="center"/>
                    <w:rPr>
                      <w:rFonts w:asciiTheme="majorHAnsi" w:hAnsiTheme="majorHAnsi"/>
                      <w:b/>
                      <w:sz w:val="22"/>
                      <w:szCs w:val="22"/>
                      <w:lang w:val="bg-BG"/>
                    </w:rPr>
                  </w:pPr>
                  <w:r w:rsidRPr="007C4468">
                    <w:rPr>
                      <w:rFonts w:asciiTheme="majorHAnsi" w:hAnsiTheme="majorHAnsi"/>
                      <w:b/>
                      <w:sz w:val="22"/>
                      <w:szCs w:val="22"/>
                      <w:lang w:val="bg-BG"/>
                    </w:rPr>
                    <w:t>Великобри-тания</w:t>
                  </w:r>
                </w:p>
              </w:tc>
              <w:tc>
                <w:tcPr>
                  <w:tcW w:w="1857" w:type="dxa"/>
                  <w:shd w:val="clear" w:color="auto" w:fill="FFFFFF" w:themeFill="background1"/>
                </w:tcPr>
                <w:p w:rsidR="00ED0450" w:rsidRPr="007C4468" w:rsidRDefault="0055742C" w:rsidP="001C1036">
                  <w:pPr>
                    <w:jc w:val="center"/>
                    <w:rPr>
                      <w:rFonts w:asciiTheme="minorHAnsi" w:hAnsiTheme="minorHAnsi"/>
                      <w:lang w:val="bg-BG"/>
                    </w:rPr>
                  </w:pPr>
                  <w:r w:rsidRPr="007C4468">
                    <w:rPr>
                      <w:rFonts w:asciiTheme="minorHAnsi" w:hAnsiTheme="minorHAnsi"/>
                      <w:lang w:val="bg-BG"/>
                    </w:rPr>
                    <w:t>T-125/12</w:t>
                  </w:r>
                  <w:r w:rsidRPr="007C4468">
                    <w:rPr>
                      <w:rStyle w:val="FootnoteReference"/>
                      <w:rFonts w:asciiTheme="minorHAnsi" w:hAnsiTheme="minorHAnsi"/>
                      <w:lang w:val="bg-BG"/>
                    </w:rPr>
                    <w:footnoteReference w:id="34"/>
                  </w:r>
                </w:p>
              </w:tc>
              <w:tc>
                <w:tcPr>
                  <w:tcW w:w="1857" w:type="dxa"/>
                  <w:shd w:val="clear" w:color="auto" w:fill="FFFFFF" w:themeFill="background1"/>
                </w:tcPr>
                <w:p w:rsidR="00ED0450" w:rsidRPr="007C4468" w:rsidRDefault="0055742C" w:rsidP="001C1036">
                  <w:pPr>
                    <w:jc w:val="center"/>
                    <w:rPr>
                      <w:rFonts w:asciiTheme="minorHAnsi" w:hAnsiTheme="minorHAnsi"/>
                      <w:lang w:val="bg-BG"/>
                    </w:rPr>
                  </w:pPr>
                  <w:r w:rsidRPr="007C4468">
                    <w:rPr>
                      <w:rFonts w:asciiTheme="minorHAnsi" w:hAnsiTheme="minorHAnsi"/>
                      <w:lang w:val="bg-BG"/>
                    </w:rPr>
                    <w:t>Viasat Broadcasting UK v Commission</w:t>
                  </w:r>
                </w:p>
              </w:tc>
              <w:tc>
                <w:tcPr>
                  <w:tcW w:w="1404" w:type="dxa"/>
                  <w:shd w:val="clear" w:color="auto" w:fill="FFFFFF" w:themeFill="background1"/>
                </w:tcPr>
                <w:p w:rsidR="00ED0450" w:rsidRPr="007C4468" w:rsidRDefault="0055742C" w:rsidP="001C1036">
                  <w:pPr>
                    <w:jc w:val="center"/>
                    <w:rPr>
                      <w:rFonts w:asciiTheme="majorHAnsi" w:hAnsiTheme="majorHAnsi"/>
                      <w:sz w:val="22"/>
                      <w:szCs w:val="22"/>
                      <w:lang w:val="bg-BG"/>
                    </w:rPr>
                  </w:pPr>
                  <w:r w:rsidRPr="007C4468">
                    <w:rPr>
                      <w:rFonts w:asciiTheme="majorHAnsi" w:hAnsiTheme="majorHAnsi"/>
                      <w:sz w:val="22"/>
                      <w:szCs w:val="22"/>
                      <w:lang w:val="bg-BG"/>
                    </w:rPr>
                    <w:t>Решение</w:t>
                  </w:r>
                </w:p>
              </w:tc>
              <w:tc>
                <w:tcPr>
                  <w:tcW w:w="1275" w:type="dxa"/>
                  <w:shd w:val="clear" w:color="auto" w:fill="FFFFFF" w:themeFill="background1"/>
                </w:tcPr>
                <w:p w:rsidR="00ED0450" w:rsidRPr="007C4468" w:rsidRDefault="0055742C" w:rsidP="00ED5BA6">
                  <w:pPr>
                    <w:rPr>
                      <w:rFonts w:asciiTheme="majorHAnsi" w:hAnsiTheme="majorHAnsi"/>
                      <w:lang w:val="bg-BG"/>
                    </w:rPr>
                  </w:pPr>
                  <w:r w:rsidRPr="007C4468">
                    <w:rPr>
                      <w:rFonts w:asciiTheme="majorHAnsi" w:hAnsiTheme="majorHAnsi"/>
                      <w:lang w:val="bg-BG"/>
                    </w:rPr>
                    <w:t>18.09.2015</w:t>
                  </w:r>
                </w:p>
              </w:tc>
            </w:tr>
            <w:tr w:rsidR="00ED0450" w:rsidRPr="007C4468" w:rsidTr="00ED5BA6">
              <w:trPr>
                <w:trHeight w:val="417"/>
              </w:trPr>
              <w:tc>
                <w:tcPr>
                  <w:tcW w:w="1588" w:type="dxa"/>
                  <w:shd w:val="clear" w:color="auto" w:fill="FFFFFF" w:themeFill="background1"/>
                </w:tcPr>
                <w:p w:rsidR="00ED0450" w:rsidRPr="007C4468" w:rsidRDefault="00ED0450" w:rsidP="002B4B45">
                  <w:pPr>
                    <w:jc w:val="center"/>
                    <w:rPr>
                      <w:rFonts w:asciiTheme="majorHAnsi" w:hAnsiTheme="majorHAnsi"/>
                      <w:b/>
                      <w:sz w:val="22"/>
                      <w:szCs w:val="22"/>
                      <w:lang w:val="bg-BG"/>
                    </w:rPr>
                  </w:pPr>
                  <w:r w:rsidRPr="007C4468">
                    <w:rPr>
                      <w:rFonts w:asciiTheme="majorHAnsi" w:hAnsiTheme="majorHAnsi"/>
                      <w:b/>
                      <w:sz w:val="22"/>
                      <w:szCs w:val="22"/>
                      <w:lang w:val="bg-BG"/>
                    </w:rPr>
                    <w:t>Дания</w:t>
                  </w:r>
                </w:p>
              </w:tc>
              <w:tc>
                <w:tcPr>
                  <w:tcW w:w="1857" w:type="dxa"/>
                  <w:shd w:val="clear" w:color="auto" w:fill="FFFFFF" w:themeFill="background1"/>
                </w:tcPr>
                <w:p w:rsidR="00ED0450" w:rsidRPr="007C4468" w:rsidRDefault="0055742C" w:rsidP="001C1036">
                  <w:pPr>
                    <w:jc w:val="center"/>
                    <w:rPr>
                      <w:rFonts w:asciiTheme="minorHAnsi" w:hAnsiTheme="minorHAnsi"/>
                      <w:lang w:val="bg-BG"/>
                    </w:rPr>
                  </w:pPr>
                  <w:r w:rsidRPr="007C4468">
                    <w:rPr>
                      <w:rFonts w:asciiTheme="minorHAnsi" w:hAnsiTheme="minorHAnsi"/>
                      <w:lang w:val="bg-BG"/>
                    </w:rPr>
                    <w:t>T-674/11</w:t>
                  </w:r>
                  <w:r w:rsidRPr="007C4468">
                    <w:rPr>
                      <w:rStyle w:val="FootnoteReference"/>
                      <w:rFonts w:asciiTheme="minorHAnsi" w:hAnsiTheme="minorHAnsi"/>
                      <w:lang w:val="bg-BG"/>
                    </w:rPr>
                    <w:footnoteReference w:id="35"/>
                  </w:r>
                </w:p>
              </w:tc>
              <w:tc>
                <w:tcPr>
                  <w:tcW w:w="1857" w:type="dxa"/>
                  <w:shd w:val="clear" w:color="auto" w:fill="FFFFFF" w:themeFill="background1"/>
                </w:tcPr>
                <w:p w:rsidR="00ED0450" w:rsidRPr="007C4468" w:rsidRDefault="0055742C" w:rsidP="001C1036">
                  <w:pPr>
                    <w:jc w:val="center"/>
                    <w:rPr>
                      <w:rFonts w:asciiTheme="minorHAnsi" w:hAnsiTheme="minorHAnsi"/>
                      <w:lang w:val="bg-BG"/>
                    </w:rPr>
                  </w:pPr>
                  <w:r w:rsidRPr="007C4468">
                    <w:rPr>
                      <w:rFonts w:asciiTheme="minorHAnsi" w:hAnsiTheme="minorHAnsi"/>
                      <w:lang w:val="bg-BG"/>
                    </w:rPr>
                    <w:t>TV2 v Danmark / Commission</w:t>
                  </w:r>
                </w:p>
              </w:tc>
              <w:tc>
                <w:tcPr>
                  <w:tcW w:w="1404" w:type="dxa"/>
                  <w:shd w:val="clear" w:color="auto" w:fill="FFFFFF" w:themeFill="background1"/>
                </w:tcPr>
                <w:p w:rsidR="00ED0450" w:rsidRPr="007C4468" w:rsidRDefault="0055742C" w:rsidP="001C1036">
                  <w:pPr>
                    <w:jc w:val="center"/>
                    <w:rPr>
                      <w:rFonts w:asciiTheme="majorHAnsi" w:hAnsiTheme="majorHAnsi"/>
                      <w:sz w:val="22"/>
                      <w:szCs w:val="22"/>
                      <w:lang w:val="bg-BG"/>
                    </w:rPr>
                  </w:pPr>
                  <w:r w:rsidRPr="007C4468">
                    <w:rPr>
                      <w:rFonts w:asciiTheme="majorHAnsi" w:hAnsiTheme="majorHAnsi"/>
                      <w:sz w:val="22"/>
                      <w:szCs w:val="22"/>
                      <w:lang w:val="bg-BG"/>
                    </w:rPr>
                    <w:t>Решение</w:t>
                  </w:r>
                </w:p>
              </w:tc>
              <w:tc>
                <w:tcPr>
                  <w:tcW w:w="1275" w:type="dxa"/>
                  <w:shd w:val="clear" w:color="auto" w:fill="FFFFFF" w:themeFill="background1"/>
                </w:tcPr>
                <w:p w:rsidR="00ED0450" w:rsidRPr="007C4468" w:rsidRDefault="0055742C" w:rsidP="00ED5BA6">
                  <w:pPr>
                    <w:rPr>
                      <w:rFonts w:asciiTheme="majorHAnsi" w:hAnsiTheme="majorHAnsi"/>
                      <w:highlight w:val="yellow"/>
                      <w:lang w:val="bg-BG"/>
                    </w:rPr>
                  </w:pPr>
                  <w:r w:rsidRPr="007C4468">
                    <w:rPr>
                      <w:rFonts w:asciiTheme="majorHAnsi" w:hAnsiTheme="majorHAnsi"/>
                      <w:lang w:val="bg-BG"/>
                    </w:rPr>
                    <w:t>18.09.2015</w:t>
                  </w:r>
                </w:p>
              </w:tc>
            </w:tr>
          </w:tbl>
          <w:p w:rsidR="00221E6C" w:rsidRPr="007C4468" w:rsidRDefault="00221E6C"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Други новини от Европейския съюз, св</w:t>
            </w:r>
            <w:r w:rsidR="00084573"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ързани с</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държавните помощи </w:t>
            </w:r>
          </w:p>
          <w:p w:rsidR="00985098" w:rsidRPr="007C4468" w:rsidRDefault="00985098"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Семинари и обучения </w:t>
            </w:r>
          </w:p>
          <w:p w:rsidR="00221E6C" w:rsidRPr="007C4468" w:rsidRDefault="00221E6C" w:rsidP="00221E6C">
            <w:pPr>
              <w:jc w:val="both"/>
              <w:rPr>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CC4DD0" w:rsidRPr="007C4468" w:rsidRDefault="00C500DC" w:rsidP="00CC4DD0">
            <w:pPr>
              <w:pStyle w:val="ListParagraph"/>
              <w:numPr>
                <w:ilvl w:val="0"/>
                <w:numId w:val="12"/>
              </w:numPr>
              <w:jc w:val="both"/>
              <w:rPr>
                <w:rFonts w:asciiTheme="minorHAnsi" w:hAnsiTheme="minorHAnsi"/>
                <w:b/>
                <w:sz w:val="22"/>
                <w:szCs w:val="22"/>
                <w:lang w:val="bg-BG"/>
                <w14:props3d w14:extrusionH="57150" w14:contourW="0" w14:prstMaterial="warmMatte">
                  <w14:bevelT w14:w="38100" w14:h="38100" w14:prst="relaxedInset"/>
                </w14:props3d>
              </w:rPr>
            </w:pPr>
            <w:r w:rsidRPr="007C4468">
              <w:rPr>
                <w:rFonts w:asciiTheme="minorHAnsi" w:hAnsiTheme="minorHAnsi"/>
                <w:b/>
                <w:sz w:val="22"/>
                <w:szCs w:val="22"/>
                <w:lang w:val="bg-BG"/>
                <w14:props3d w14:extrusionH="57150" w14:contourW="0" w14:prstMaterial="warmMatte">
                  <w14:bevelT w14:w="38100" w14:h="38100" w14:prst="relaxedInset"/>
                </w14:props3d>
              </w:rPr>
              <w:t>На 12-13 октомври в гр.</w:t>
            </w:r>
            <w:r w:rsidR="003C1C42" w:rsidRPr="007C4468">
              <w:rPr>
                <w:rFonts w:asciiTheme="minorHAnsi" w:hAnsiTheme="minorHAnsi"/>
                <w:b/>
                <w:sz w:val="22"/>
                <w:szCs w:val="22"/>
                <w:lang w:val="bg-BG"/>
                <w14:props3d w14:extrusionH="57150" w14:contourW="0" w14:prstMaterial="warmMatte">
                  <w14:bevelT w14:w="38100" w14:h="38100" w14:prst="relaxedInset"/>
                </w14:props3d>
              </w:rPr>
              <w:t xml:space="preserve"> </w:t>
            </w:r>
            <w:r w:rsidRPr="007C4468">
              <w:rPr>
                <w:rFonts w:asciiTheme="minorHAnsi" w:hAnsiTheme="minorHAnsi"/>
                <w:b/>
                <w:sz w:val="22"/>
                <w:szCs w:val="22"/>
                <w:lang w:val="bg-BG"/>
                <w14:props3d w14:extrusionH="57150" w14:contourW="0" w14:prstMaterial="warmMatte">
                  <w14:bevelT w14:w="38100" w14:h="38100" w14:prst="relaxedInset"/>
                </w14:props3d>
              </w:rPr>
              <w:t xml:space="preserve">Берлин, Германия, Lexxion ще проведе конференция, касаеща </w:t>
            </w:r>
            <w:r w:rsidR="00D37714" w:rsidRPr="007C4468">
              <w:rPr>
                <w:rFonts w:asciiTheme="minorHAnsi" w:hAnsiTheme="minorHAnsi"/>
                <w:b/>
                <w:sz w:val="22"/>
                <w:szCs w:val="22"/>
                <w:lang w:val="bg-BG"/>
                <w14:props3d w14:extrusionH="57150" w14:contourW="0" w14:prstMaterial="warmMatte">
                  <w14:bevelT w14:w="38100" w14:h="38100" w14:prst="relaxedInset"/>
                </w14:props3d>
              </w:rPr>
              <w:t xml:space="preserve">правото по </w:t>
            </w:r>
            <w:r w:rsidRPr="007C4468">
              <w:rPr>
                <w:rFonts w:asciiTheme="minorHAnsi" w:hAnsiTheme="minorHAnsi"/>
                <w:b/>
                <w:sz w:val="22"/>
                <w:szCs w:val="22"/>
                <w:lang w:val="bg-BG"/>
                <w14:props3d w14:extrusionH="57150" w14:contourW="0" w14:prstMaterial="warmMatte">
                  <w14:bevelT w14:w="38100" w14:h="38100" w14:prst="relaxedInset"/>
                </w14:props3d>
              </w:rPr>
              <w:t>държавните помощи и съответните процедури към него</w:t>
            </w:r>
            <w:r w:rsidR="001260A1" w:rsidRPr="007C4468">
              <w:rPr>
                <w:rFonts w:asciiTheme="minorHAnsi" w:hAnsiTheme="minorHAnsi"/>
                <w:b/>
                <w:sz w:val="22"/>
                <w:szCs w:val="22"/>
                <w:lang w:val="bg-BG"/>
                <w14:props3d w14:extrusionH="57150" w14:contourW="0" w14:prstMaterial="warmMatte">
                  <w14:bevelT w14:w="38100" w14:h="38100" w14:prst="relaxedInset"/>
                </w14:props3d>
              </w:rPr>
              <w:t>.</w:t>
            </w:r>
            <w:r w:rsidR="00CC4DD0" w:rsidRPr="007C446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6"/>
            </w:r>
            <w:r w:rsidR="00CC4DD0" w:rsidRPr="007C4468">
              <w:rPr>
                <w:rFonts w:asciiTheme="minorHAnsi" w:hAnsiTheme="minorHAnsi"/>
                <w:b/>
                <w:sz w:val="22"/>
                <w:szCs w:val="22"/>
                <w:lang w:val="bg-BG"/>
                <w14:props3d w14:extrusionH="57150" w14:contourW="0" w14:prstMaterial="warmMatte">
                  <w14:bevelT w14:w="38100" w14:h="38100" w14:prst="relaxedInset"/>
                </w14:props3d>
              </w:rPr>
              <w:t xml:space="preserve"> </w:t>
            </w:r>
          </w:p>
          <w:p w:rsidR="00CC4DD0" w:rsidRPr="007C4468" w:rsidRDefault="00CC4DD0" w:rsidP="00E54EFC">
            <w:pPr>
              <w:pStyle w:val="ListParagraph"/>
              <w:jc w:val="both"/>
              <w:rPr>
                <w:rFonts w:asciiTheme="minorHAnsi" w:hAnsiTheme="minorHAnsi"/>
                <w:b/>
                <w:sz w:val="22"/>
                <w:szCs w:val="22"/>
                <w:lang w:val="bg-BG"/>
                <w14:props3d w14:extrusionH="57150" w14:contourW="0" w14:prstMaterial="warmMatte">
                  <w14:bevelT w14:w="38100" w14:h="38100" w14:prst="relaxedInset"/>
                </w14:props3d>
              </w:rPr>
            </w:pPr>
          </w:p>
          <w:p w:rsidR="00E54EFC" w:rsidRPr="007C4468" w:rsidRDefault="004C3079" w:rsidP="00E54EFC">
            <w:pPr>
              <w:pStyle w:val="ListParagraph"/>
              <w:numPr>
                <w:ilvl w:val="0"/>
                <w:numId w:val="12"/>
              </w:numPr>
              <w:jc w:val="both"/>
              <w:rPr>
                <w:rFonts w:asciiTheme="minorHAnsi" w:hAnsiTheme="minorHAnsi"/>
                <w:b/>
                <w:sz w:val="22"/>
                <w:szCs w:val="22"/>
                <w:lang w:val="bg-BG"/>
                <w14:props3d w14:extrusionH="57150" w14:contourW="0" w14:prstMaterial="warmMatte">
                  <w14:bevelT w14:w="38100" w14:h="38100" w14:prst="relaxedInset"/>
                </w14:props3d>
              </w:rPr>
            </w:pPr>
            <w:r w:rsidRPr="007C4468">
              <w:rPr>
                <w:rFonts w:asciiTheme="minorHAnsi" w:hAnsiTheme="minorHAnsi"/>
                <w:b/>
                <w:sz w:val="22"/>
                <w:szCs w:val="22"/>
                <w:lang w:val="bg-BG"/>
                <w14:props3d w14:extrusionH="57150" w14:contourW="0" w14:prstMaterial="warmMatte">
                  <w14:bevelT w14:w="38100" w14:h="38100" w14:prst="relaxedInset"/>
                </w14:props3d>
              </w:rPr>
              <w:t xml:space="preserve">На 22-23 октомври в гр. Загреб, Хърватия, </w:t>
            </w:r>
            <w:r w:rsidR="001260A1" w:rsidRPr="007C4468">
              <w:rPr>
                <w:rFonts w:asciiTheme="minorHAnsi" w:hAnsiTheme="minorHAnsi"/>
                <w:b/>
                <w:sz w:val="22"/>
                <w:szCs w:val="22"/>
                <w:lang w:val="bg-BG"/>
                <w14:props3d w14:extrusionH="57150" w14:contourW="0" w14:prstMaterial="warmMatte">
                  <w14:bevelT w14:w="38100" w14:h="38100" w14:prst="relaxedInset"/>
                </w14:props3d>
              </w:rPr>
              <w:t xml:space="preserve">Lexxion ще проведе  </w:t>
            </w:r>
            <w:r w:rsidR="004A4C82" w:rsidRPr="007C4468">
              <w:rPr>
                <w:rFonts w:asciiTheme="minorHAnsi" w:hAnsiTheme="minorHAnsi"/>
                <w:b/>
                <w:sz w:val="22"/>
                <w:szCs w:val="22"/>
                <w:lang w:val="bg-BG"/>
                <w14:props3d w14:extrusionH="57150" w14:contourW="0" w14:prstMaterial="warmMatte">
                  <w14:bevelT w14:w="38100" w14:h="38100" w14:prst="relaxedInset"/>
                </w14:props3d>
              </w:rPr>
              <w:t>Е</w:t>
            </w:r>
            <w:r w:rsidR="001260A1" w:rsidRPr="007C4468">
              <w:rPr>
                <w:rFonts w:asciiTheme="minorHAnsi" w:hAnsiTheme="minorHAnsi"/>
                <w:b/>
                <w:sz w:val="22"/>
                <w:szCs w:val="22"/>
                <w:lang w:val="bg-BG"/>
                <w14:props3d w14:extrusionH="57150" w14:contourW="0" w14:prstMaterial="warmMatte">
                  <w14:bevelT w14:w="38100" w14:h="38100" w14:prst="relaxedInset"/>
                </w14:props3d>
              </w:rPr>
              <w:t>вропейска конференция, посветена на Държавн</w:t>
            </w:r>
            <w:r w:rsidR="004A4C82" w:rsidRPr="007C4468">
              <w:rPr>
                <w:rFonts w:asciiTheme="minorHAnsi" w:hAnsiTheme="minorHAnsi"/>
                <w:b/>
                <w:sz w:val="22"/>
                <w:szCs w:val="22"/>
                <w:lang w:val="bg-BG"/>
                <w14:props3d w14:extrusionH="57150" w14:contourW="0" w14:prstMaterial="warmMatte">
                  <w14:bevelT w14:w="38100" w14:h="38100" w14:prst="relaxedInset"/>
                </w14:props3d>
              </w:rPr>
              <w:t>и</w:t>
            </w:r>
            <w:r w:rsidR="001260A1" w:rsidRPr="007C4468">
              <w:rPr>
                <w:rFonts w:asciiTheme="minorHAnsi" w:hAnsiTheme="minorHAnsi"/>
                <w:b/>
                <w:sz w:val="22"/>
                <w:szCs w:val="22"/>
                <w:lang w:val="bg-BG"/>
                <w14:props3d w14:extrusionH="57150" w14:contourW="0" w14:prstMaterial="warmMatte">
                  <w14:bevelT w14:w="38100" w14:h="38100" w14:prst="relaxedInset"/>
                </w14:props3d>
              </w:rPr>
              <w:t>т</w:t>
            </w:r>
            <w:r w:rsidR="003C1C42" w:rsidRPr="007C4468">
              <w:rPr>
                <w:rFonts w:asciiTheme="minorHAnsi" w:hAnsiTheme="minorHAnsi"/>
                <w:b/>
                <w:sz w:val="22"/>
                <w:szCs w:val="22"/>
                <w:lang w:val="bg-BG"/>
                <w14:props3d w14:extrusionH="57150" w14:contourW="0" w14:prstMaterial="warmMatte">
                  <w14:bevelT w14:w="38100" w14:h="38100" w14:prst="relaxedInset"/>
                </w14:props3d>
              </w:rPr>
              <w:t>е</w:t>
            </w:r>
            <w:r w:rsidR="001260A1" w:rsidRPr="007C4468">
              <w:rPr>
                <w:rFonts w:asciiTheme="minorHAnsi" w:hAnsiTheme="minorHAnsi"/>
                <w:b/>
                <w:sz w:val="22"/>
                <w:szCs w:val="22"/>
                <w:lang w:val="bg-BG"/>
                <w14:props3d w14:extrusionH="57150" w14:contourW="0" w14:prstMaterial="warmMatte">
                  <w14:bevelT w14:w="38100" w14:h="38100" w14:prst="relaxedInset"/>
                </w14:props3d>
              </w:rPr>
              <w:t xml:space="preserve"> помощ</w:t>
            </w:r>
            <w:r w:rsidR="003C1C42" w:rsidRPr="007C4468">
              <w:rPr>
                <w:rFonts w:asciiTheme="minorHAnsi" w:hAnsiTheme="minorHAnsi"/>
                <w:b/>
                <w:sz w:val="22"/>
                <w:szCs w:val="22"/>
                <w:lang w:val="bg-BG"/>
                <w14:props3d w14:extrusionH="57150" w14:contourW="0" w14:prstMaterial="warmMatte">
                  <w14:bevelT w14:w="38100" w14:h="38100" w14:prst="relaxedInset"/>
                </w14:props3d>
              </w:rPr>
              <w:t>и</w:t>
            </w:r>
            <w:r w:rsidR="001260A1" w:rsidRPr="007C4468">
              <w:rPr>
                <w:rFonts w:asciiTheme="minorHAnsi" w:hAnsiTheme="minorHAnsi"/>
                <w:b/>
                <w:sz w:val="22"/>
                <w:szCs w:val="22"/>
                <w:lang w:val="bg-BG"/>
                <w14:props3d w14:extrusionH="57150" w14:contourW="0" w14:prstMaterial="warmMatte">
                  <w14:bevelT w14:w="38100" w14:h="38100" w14:prst="relaxedInset"/>
                </w14:props3d>
              </w:rPr>
              <w:t xml:space="preserve"> и </w:t>
            </w:r>
            <w:r w:rsidR="003C1C42" w:rsidRPr="007C4468">
              <w:rPr>
                <w:rFonts w:asciiTheme="minorHAnsi" w:hAnsiTheme="minorHAnsi"/>
                <w:b/>
                <w:sz w:val="22"/>
                <w:szCs w:val="22"/>
                <w:lang w:val="bg-BG"/>
                <w14:props3d w14:extrusionH="57150" w14:contourW="0" w14:prstMaterial="warmMatte">
                  <w14:bevelT w14:w="38100" w14:h="38100" w14:prst="relaxedInset"/>
                </w14:props3d>
              </w:rPr>
              <w:t>Е</w:t>
            </w:r>
            <w:r w:rsidR="001260A1" w:rsidRPr="007C4468">
              <w:rPr>
                <w:rFonts w:asciiTheme="minorHAnsi" w:hAnsiTheme="minorHAnsi"/>
                <w:b/>
                <w:sz w:val="22"/>
                <w:szCs w:val="22"/>
                <w:lang w:val="bg-BG"/>
                <w14:props3d w14:extrusionH="57150" w14:contourW="0" w14:prstMaterial="warmMatte">
                  <w14:bevelT w14:w="38100" w14:h="38100" w14:prst="relaxedInset"/>
                </w14:props3d>
              </w:rPr>
              <w:t xml:space="preserve">вропейските </w:t>
            </w:r>
            <w:r w:rsidR="003C1C42" w:rsidRPr="007C4468">
              <w:rPr>
                <w:rFonts w:asciiTheme="minorHAnsi" w:hAnsiTheme="minorHAnsi"/>
                <w:b/>
                <w:sz w:val="22"/>
                <w:szCs w:val="22"/>
                <w:lang w:val="bg-BG"/>
                <w14:props3d w14:extrusionH="57150" w14:contourW="0" w14:prstMaterial="warmMatte">
                  <w14:bevelT w14:w="38100" w14:h="38100" w14:prst="relaxedInset"/>
                </w14:props3d>
              </w:rPr>
              <w:t>С</w:t>
            </w:r>
            <w:r w:rsidR="001260A1" w:rsidRPr="007C4468">
              <w:rPr>
                <w:rFonts w:asciiTheme="minorHAnsi" w:hAnsiTheme="minorHAnsi"/>
                <w:b/>
                <w:sz w:val="22"/>
                <w:szCs w:val="22"/>
                <w:lang w:val="bg-BG"/>
                <w14:props3d w14:extrusionH="57150" w14:contourW="0" w14:prstMaterial="warmMatte">
                  <w14:bevelT w14:w="38100" w14:h="38100" w14:prst="relaxedInset"/>
                </w14:props3d>
              </w:rPr>
              <w:t xml:space="preserve">труктурни и </w:t>
            </w:r>
            <w:r w:rsidR="003C1C42" w:rsidRPr="007C4468">
              <w:rPr>
                <w:rFonts w:asciiTheme="minorHAnsi" w:hAnsiTheme="minorHAnsi"/>
                <w:b/>
                <w:sz w:val="22"/>
                <w:szCs w:val="22"/>
                <w:lang w:val="bg-BG"/>
                <w14:props3d w14:extrusionH="57150" w14:contourW="0" w14:prstMaterial="warmMatte">
                  <w14:bevelT w14:w="38100" w14:h="38100" w14:prst="relaxedInset"/>
                </w14:props3d>
              </w:rPr>
              <w:t>И</w:t>
            </w:r>
            <w:r w:rsidR="001260A1" w:rsidRPr="007C4468">
              <w:rPr>
                <w:rFonts w:asciiTheme="minorHAnsi" w:hAnsiTheme="minorHAnsi"/>
                <w:b/>
                <w:sz w:val="22"/>
                <w:szCs w:val="22"/>
                <w:lang w:val="bg-BG"/>
                <w14:props3d w14:extrusionH="57150" w14:contourW="0" w14:prstMaterial="warmMatte">
                  <w14:bevelT w14:w="38100" w14:h="38100" w14:prst="relaxedInset"/>
                </w14:props3d>
              </w:rPr>
              <w:t>нвестиционни фондове.</w:t>
            </w:r>
            <w:r w:rsidR="00E54EFC" w:rsidRPr="007C446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7"/>
            </w:r>
            <w:r w:rsidR="00E54EFC" w:rsidRPr="007C4468">
              <w:rPr>
                <w:rFonts w:asciiTheme="minorHAnsi" w:hAnsiTheme="minorHAnsi"/>
                <w:b/>
                <w:sz w:val="22"/>
                <w:szCs w:val="22"/>
                <w:lang w:val="bg-BG"/>
                <w14:props3d w14:extrusionH="57150" w14:contourW="0" w14:prstMaterial="warmMatte">
                  <w14:bevelT w14:w="38100" w14:h="38100" w14:prst="relaxedInset"/>
                </w14:props3d>
              </w:rPr>
              <w:t xml:space="preserve"> </w:t>
            </w:r>
          </w:p>
          <w:p w:rsidR="00CC4DD0" w:rsidRPr="007C4468" w:rsidRDefault="00CC4DD0" w:rsidP="00E54EFC">
            <w:pPr>
              <w:pStyle w:val="ListParagraph"/>
              <w:jc w:val="both"/>
              <w:rPr>
                <w:rFonts w:asciiTheme="minorHAnsi" w:hAnsiTheme="minorHAnsi"/>
                <w:b/>
                <w:sz w:val="22"/>
                <w:szCs w:val="22"/>
                <w:lang w:val="bg-BG"/>
                <w14:props3d w14:extrusionH="57150" w14:contourW="0" w14:prstMaterial="warmMatte">
                  <w14:bevelT w14:w="38100" w14:h="38100" w14:prst="relaxedInset"/>
                </w14:props3d>
              </w:rPr>
            </w:pPr>
          </w:p>
          <w:p w:rsidR="008A23CA" w:rsidRPr="007C4468" w:rsidRDefault="001260A1" w:rsidP="008A23CA">
            <w:pPr>
              <w:pStyle w:val="ListParagraph"/>
              <w:numPr>
                <w:ilvl w:val="0"/>
                <w:numId w:val="12"/>
              </w:numPr>
              <w:jc w:val="both"/>
              <w:rPr>
                <w:rFonts w:asciiTheme="minorHAnsi" w:hAnsiTheme="minorHAnsi"/>
                <w:b/>
                <w:sz w:val="22"/>
                <w:szCs w:val="22"/>
                <w:lang w:val="bg-BG"/>
                <w14:props3d w14:extrusionH="57150" w14:contourW="0" w14:prstMaterial="warmMatte">
                  <w14:bevelT w14:w="38100" w14:h="38100" w14:prst="relaxedInset"/>
                </w14:props3d>
              </w:rPr>
            </w:pPr>
            <w:r w:rsidRPr="007C4468">
              <w:rPr>
                <w:rFonts w:asciiTheme="minorHAnsi" w:hAnsiTheme="minorHAnsi"/>
                <w:b/>
                <w:sz w:val="22"/>
                <w:szCs w:val="22"/>
                <w:lang w:val="bg-BG"/>
                <w14:props3d w14:extrusionH="57150" w14:contourW="0" w14:prstMaterial="warmMatte">
                  <w14:bevelT w14:w="38100" w14:h="38100" w14:prst="relaxedInset"/>
                </w14:props3d>
              </w:rPr>
              <w:t>На 26-27 октомври в гр.</w:t>
            </w:r>
            <w:r w:rsidR="009F3D2E" w:rsidRPr="007C4468">
              <w:rPr>
                <w:rFonts w:asciiTheme="minorHAnsi" w:hAnsiTheme="minorHAnsi"/>
                <w:b/>
                <w:sz w:val="22"/>
                <w:szCs w:val="22"/>
                <w:lang w:val="bg-BG"/>
                <w14:props3d w14:extrusionH="57150" w14:contourW="0" w14:prstMaterial="warmMatte">
                  <w14:bevelT w14:w="38100" w14:h="38100" w14:prst="relaxedInset"/>
                </w14:props3d>
              </w:rPr>
              <w:t xml:space="preserve"> </w:t>
            </w:r>
            <w:r w:rsidRPr="007C4468">
              <w:rPr>
                <w:rFonts w:asciiTheme="minorHAnsi" w:hAnsiTheme="minorHAnsi"/>
                <w:b/>
                <w:sz w:val="22"/>
                <w:szCs w:val="22"/>
                <w:lang w:val="bg-BG"/>
                <w14:props3d w14:extrusionH="57150" w14:contourW="0" w14:prstMaterial="warmMatte">
                  <w14:bevelT w14:w="38100" w14:h="38100" w14:prst="relaxedInset"/>
                </w14:props3d>
              </w:rPr>
              <w:t>Брюксел , Белгия, Lexxion ще проведе конференция, засягаща държавн</w:t>
            </w:r>
            <w:r w:rsidR="00D37714" w:rsidRPr="007C4468">
              <w:rPr>
                <w:rFonts w:asciiTheme="minorHAnsi" w:hAnsiTheme="minorHAnsi"/>
                <w:b/>
                <w:sz w:val="22"/>
                <w:szCs w:val="22"/>
                <w:lang w:val="bg-BG"/>
                <w14:props3d w14:extrusionH="57150" w14:contourW="0" w14:prstMaterial="warmMatte">
                  <w14:bevelT w14:w="38100" w14:h="38100" w14:prst="relaxedInset"/>
                </w14:props3d>
              </w:rPr>
              <w:t>и</w:t>
            </w:r>
            <w:r w:rsidRPr="007C4468">
              <w:rPr>
                <w:rFonts w:asciiTheme="minorHAnsi" w:hAnsiTheme="minorHAnsi"/>
                <w:b/>
                <w:sz w:val="22"/>
                <w:szCs w:val="22"/>
                <w:lang w:val="bg-BG"/>
                <w14:props3d w14:extrusionH="57150" w14:contourW="0" w14:prstMaterial="warmMatte">
                  <w14:bevelT w14:w="38100" w14:h="38100" w14:prst="relaxedInset"/>
                </w14:props3d>
              </w:rPr>
              <w:t>т</w:t>
            </w:r>
            <w:r w:rsidR="00D37714" w:rsidRPr="007C4468">
              <w:rPr>
                <w:rFonts w:asciiTheme="minorHAnsi" w:hAnsiTheme="minorHAnsi"/>
                <w:b/>
                <w:sz w:val="22"/>
                <w:szCs w:val="22"/>
                <w:lang w:val="bg-BG"/>
                <w14:props3d w14:extrusionH="57150" w14:contourW="0" w14:prstMaterial="warmMatte">
                  <w14:bevelT w14:w="38100" w14:h="38100" w14:prst="relaxedInset"/>
                </w14:props3d>
              </w:rPr>
              <w:t>е</w:t>
            </w:r>
            <w:r w:rsidRPr="007C4468">
              <w:rPr>
                <w:rFonts w:asciiTheme="minorHAnsi" w:hAnsiTheme="minorHAnsi"/>
                <w:b/>
                <w:sz w:val="22"/>
                <w:szCs w:val="22"/>
                <w:lang w:val="bg-BG"/>
                <w14:props3d w14:extrusionH="57150" w14:contourW="0" w14:prstMaterial="warmMatte">
                  <w14:bevelT w14:w="38100" w14:h="38100" w14:prst="relaxedInset"/>
                </w14:props3d>
              </w:rPr>
              <w:t xml:space="preserve"> помощ</w:t>
            </w:r>
            <w:r w:rsidR="00D37714" w:rsidRPr="007C4468">
              <w:rPr>
                <w:rFonts w:asciiTheme="minorHAnsi" w:hAnsiTheme="minorHAnsi"/>
                <w:b/>
                <w:sz w:val="22"/>
                <w:szCs w:val="22"/>
                <w:lang w:val="bg-BG"/>
                <w14:props3d w14:extrusionH="57150" w14:contourW="0" w14:prstMaterial="warmMatte">
                  <w14:bevelT w14:w="38100" w14:h="38100" w14:prst="relaxedInset"/>
                </w14:props3d>
              </w:rPr>
              <w:t>и</w:t>
            </w:r>
            <w:r w:rsidRPr="007C4468">
              <w:rPr>
                <w:rFonts w:asciiTheme="minorHAnsi" w:hAnsiTheme="minorHAnsi"/>
                <w:b/>
                <w:sz w:val="22"/>
                <w:szCs w:val="22"/>
                <w:lang w:val="bg-BG"/>
                <w14:props3d w14:extrusionH="57150" w14:contourW="0" w14:prstMaterial="warmMatte">
                  <w14:bevelT w14:w="38100" w14:h="38100" w14:prst="relaxedInset"/>
                </w14:props3d>
              </w:rPr>
              <w:t xml:space="preserve"> за данъчни мерки.</w:t>
            </w:r>
            <w:r w:rsidR="008A23CA" w:rsidRPr="007C446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8"/>
            </w:r>
            <w:r w:rsidR="008A23CA" w:rsidRPr="007C4468">
              <w:rPr>
                <w:rFonts w:asciiTheme="minorHAnsi" w:hAnsiTheme="minorHAnsi"/>
                <w:b/>
                <w:sz w:val="22"/>
                <w:szCs w:val="22"/>
                <w:lang w:val="bg-BG"/>
                <w14:props3d w14:extrusionH="57150" w14:contourW="0" w14:prstMaterial="warmMatte">
                  <w14:bevelT w14:w="38100" w14:h="38100" w14:prst="relaxedInset"/>
                </w14:props3d>
              </w:rPr>
              <w:t xml:space="preserve"> </w:t>
            </w:r>
          </w:p>
          <w:p w:rsidR="005A3A04" w:rsidRPr="007C4468" w:rsidRDefault="005A3A04" w:rsidP="005A3A04">
            <w:pPr>
              <w:pStyle w:val="ListParagraph"/>
              <w:rPr>
                <w:rFonts w:asciiTheme="minorHAnsi" w:hAnsiTheme="minorHAnsi"/>
                <w:b/>
                <w:sz w:val="22"/>
                <w:szCs w:val="22"/>
                <w:lang w:val="bg-BG"/>
                <w14:props3d w14:extrusionH="57150" w14:contourW="0" w14:prstMaterial="warmMatte">
                  <w14:bevelT w14:w="38100" w14:h="38100" w14:prst="relaxedInset"/>
                </w14:props3d>
              </w:rPr>
            </w:pPr>
          </w:p>
          <w:p w:rsidR="005A3A04" w:rsidRPr="007C4468" w:rsidRDefault="005A3A04" w:rsidP="008A23CA">
            <w:pPr>
              <w:pStyle w:val="ListParagraph"/>
              <w:numPr>
                <w:ilvl w:val="0"/>
                <w:numId w:val="12"/>
              </w:numPr>
              <w:jc w:val="both"/>
              <w:rPr>
                <w:rFonts w:asciiTheme="minorHAnsi" w:hAnsiTheme="minorHAnsi"/>
                <w:b/>
                <w:sz w:val="22"/>
                <w:szCs w:val="22"/>
                <w:lang w:val="bg-BG"/>
                <w14:props3d w14:extrusionH="57150" w14:contourW="0" w14:prstMaterial="warmMatte">
                  <w14:bevelT w14:w="38100" w14:h="38100" w14:prst="relaxedInset"/>
                </w14:props3d>
              </w:rPr>
            </w:pPr>
            <w:r w:rsidRPr="007C4468">
              <w:rPr>
                <w:rFonts w:asciiTheme="minorHAnsi" w:hAnsiTheme="minorHAnsi"/>
                <w:b/>
                <w:sz w:val="22"/>
                <w:szCs w:val="22"/>
                <w:lang w:val="bg-BG"/>
                <w14:props3d w14:extrusionH="57150" w14:contourW="0" w14:prstMaterial="warmMatte">
                  <w14:bevelT w14:w="38100" w14:h="38100" w14:prst="relaxedInset"/>
                </w14:props3d>
              </w:rPr>
              <w:t>На 26-27 октомври в гр. Маастрихт,</w:t>
            </w:r>
            <w:r w:rsidR="00AB15F2" w:rsidRPr="007C4468">
              <w:rPr>
                <w:rFonts w:asciiTheme="minorHAnsi" w:hAnsiTheme="minorHAnsi"/>
                <w:b/>
                <w:sz w:val="22"/>
                <w:szCs w:val="22"/>
                <w:lang w:val="bg-BG"/>
                <w14:props3d w14:extrusionH="57150" w14:contourW="0" w14:prstMaterial="warmMatte">
                  <w14:bevelT w14:w="38100" w14:h="38100" w14:prst="relaxedInset"/>
                </w14:props3d>
              </w:rPr>
              <w:t xml:space="preserve"> </w:t>
            </w:r>
            <w:r w:rsidRPr="007C4468">
              <w:rPr>
                <w:rFonts w:asciiTheme="minorHAnsi" w:hAnsiTheme="minorHAnsi"/>
                <w:b/>
                <w:sz w:val="22"/>
                <w:szCs w:val="22"/>
                <w:lang w:val="bg-BG"/>
                <w14:props3d w14:extrusionH="57150" w14:contourW="0" w14:prstMaterial="warmMatte">
                  <w14:bevelT w14:w="38100" w14:h="38100" w14:prst="relaxedInset"/>
                </w14:props3d>
              </w:rPr>
              <w:t xml:space="preserve">Холандия, Европейският институт по публична администрация (EIPA) </w:t>
            </w:r>
            <w:r w:rsidR="00AB15F2" w:rsidRPr="007C4468">
              <w:rPr>
                <w:rFonts w:asciiTheme="minorHAnsi" w:hAnsiTheme="minorHAnsi"/>
                <w:b/>
                <w:sz w:val="22"/>
                <w:szCs w:val="22"/>
                <w:lang w:val="bg-BG"/>
                <w14:props3d w14:extrusionH="57150" w14:contourW="0" w14:prstMaterial="warmMatte">
                  <w14:bevelT w14:w="38100" w14:h="38100" w14:prst="relaxedInset"/>
                </w14:props3d>
              </w:rPr>
              <w:t>ще проведе С</w:t>
            </w:r>
            <w:r w:rsidRPr="007C4468">
              <w:rPr>
                <w:rFonts w:asciiTheme="minorHAnsi" w:hAnsiTheme="minorHAnsi"/>
                <w:b/>
                <w:sz w:val="22"/>
                <w:szCs w:val="22"/>
                <w:lang w:val="bg-BG"/>
                <w14:props3d w14:extrusionH="57150" w14:contourW="0" w14:prstMaterial="warmMatte">
                  <w14:bevelT w14:w="38100" w14:h="38100" w14:prst="relaxedInset"/>
                </w14:props3d>
              </w:rPr>
              <w:t>еминар</w:t>
            </w:r>
            <w:r w:rsidR="00AB15F2" w:rsidRPr="007C4468">
              <w:rPr>
                <w:rFonts w:asciiTheme="minorHAnsi" w:hAnsiTheme="minorHAnsi"/>
                <w:b/>
                <w:sz w:val="22"/>
                <w:szCs w:val="22"/>
                <w:lang w:val="bg-BG"/>
                <w14:props3d w14:extrusionH="57150" w14:contourW="0" w14:prstMaterial="warmMatte">
                  <w14:bevelT w14:w="38100" w14:h="38100" w14:prst="relaxedInset"/>
                </w14:props3d>
              </w:rPr>
              <w:t xml:space="preserve"> за напреднали по</w:t>
            </w:r>
            <w:r w:rsidRPr="007C4468">
              <w:rPr>
                <w:rFonts w:asciiTheme="minorHAnsi" w:hAnsiTheme="minorHAnsi"/>
                <w:b/>
                <w:sz w:val="22"/>
                <w:szCs w:val="22"/>
                <w:lang w:val="bg-BG"/>
                <w14:props3d w14:extrusionH="57150" w14:contourW="0" w14:prstMaterial="warmMatte">
                  <w14:bevelT w14:w="38100" w14:h="38100" w14:prst="relaxedInset"/>
                </w14:props3d>
              </w:rPr>
              <w:t xml:space="preserve"> държавните помощи.</w:t>
            </w:r>
            <w:r w:rsidRPr="007C446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9"/>
            </w:r>
          </w:p>
          <w:p w:rsidR="008A23CA" w:rsidRPr="007C4468" w:rsidRDefault="008A23CA" w:rsidP="008A23CA">
            <w:pPr>
              <w:pStyle w:val="ListParagraph"/>
              <w:jc w:val="both"/>
              <w:rPr>
                <w:rFonts w:asciiTheme="minorHAnsi" w:hAnsiTheme="minorHAnsi"/>
                <w:b/>
                <w:sz w:val="22"/>
                <w:szCs w:val="22"/>
                <w:lang w:val="bg-BG"/>
                <w14:props3d w14:extrusionH="57150" w14:contourW="0" w14:prstMaterial="warmMatte">
                  <w14:bevelT w14:w="38100" w14:h="38100" w14:prst="relaxedInset"/>
                </w14:props3d>
              </w:rPr>
            </w:pPr>
          </w:p>
          <w:p w:rsidR="000A7D4C" w:rsidRPr="007C4468" w:rsidRDefault="005A3A04" w:rsidP="005A3A04">
            <w:pPr>
              <w:tabs>
                <w:tab w:val="left" w:pos="4976"/>
              </w:tabs>
              <w:jc w:val="both"/>
              <w:rPr>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ab/>
            </w:r>
          </w:p>
          <w:p w:rsidR="00E231A6" w:rsidRPr="007C4468" w:rsidRDefault="00E231A6"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0A7D4C" w:rsidRPr="007C4468" w:rsidRDefault="000A7D4C" w:rsidP="002414F2">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44B74" w:rsidRPr="007C4468" w:rsidRDefault="00144B74"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нови или изменени съществуващи нормативни актове в Република България във връзка с режима по държавните помощи</w:t>
            </w:r>
          </w:p>
          <w:p w:rsidR="00084573" w:rsidRPr="007C4468" w:rsidRDefault="00084573" w:rsidP="00084573">
            <w:pPr>
              <w:jc w:val="both"/>
              <w:rPr>
                <w:rFonts w:asciiTheme="majorHAnsi" w:hAnsiTheme="majorHAnsi"/>
                <w:sz w:val="22"/>
                <w:szCs w:val="22"/>
                <w:lang w:val="bg-BG"/>
              </w:rPr>
            </w:pPr>
            <w:r w:rsidRPr="007C4468">
              <w:rPr>
                <w:rFonts w:asciiTheme="majorHAnsi" w:hAnsiTheme="majorHAnsi"/>
                <w:sz w:val="22"/>
                <w:szCs w:val="22"/>
                <w:lang w:val="bg-BG"/>
              </w:rPr>
              <w:t>Няма нови публикувани нормативни актове за държавните помощи</w:t>
            </w:r>
            <w:r w:rsidR="00A82565" w:rsidRPr="007C4468">
              <w:rPr>
                <w:rFonts w:asciiTheme="majorHAnsi" w:hAnsiTheme="majorHAnsi"/>
                <w:sz w:val="22"/>
                <w:szCs w:val="22"/>
                <w:lang w:val="bg-BG"/>
              </w:rPr>
              <w:t>.</w:t>
            </w:r>
          </w:p>
          <w:p w:rsidR="00E231A6" w:rsidRPr="007C4468" w:rsidRDefault="00E231A6" w:rsidP="00E231A6">
            <w:pPr>
              <w:jc w:val="both"/>
              <w:rPr>
                <w:rFonts w:asciiTheme="majorHAnsi" w:hAnsiTheme="majorHAnsi"/>
                <w:b/>
                <w:sz w:val="24"/>
                <w:szCs w:val="24"/>
                <w:lang w:val="bg-BG"/>
              </w:rPr>
            </w:pPr>
            <w:r w:rsidRPr="007C4468">
              <w:rPr>
                <w:rFonts w:asciiTheme="majorHAnsi" w:hAnsiTheme="majorHAnsi"/>
                <w:sz w:val="24"/>
                <w:szCs w:val="24"/>
                <w:lang w:val="bg-BG"/>
              </w:rPr>
              <w:tab/>
            </w:r>
          </w:p>
          <w:p w:rsidR="00E231A6" w:rsidRPr="007C4468" w:rsidRDefault="00E231A6"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в Република България във връзка с режима по държавните помощи</w:t>
            </w:r>
          </w:p>
          <w:p w:rsidR="003C4E2B" w:rsidRPr="007C4468" w:rsidRDefault="003C4E2B" w:rsidP="00084573">
            <w:pPr>
              <w:jc w:val="both"/>
              <w:rPr>
                <w:rFonts w:asciiTheme="majorHAnsi" w:hAnsiTheme="majorHAnsi"/>
                <w:sz w:val="22"/>
                <w:szCs w:val="22"/>
                <w:lang w:val="bg-BG"/>
              </w:rPr>
            </w:pPr>
            <w:r w:rsidRPr="007C4468">
              <w:rPr>
                <w:rFonts w:asciiTheme="majorHAnsi" w:hAnsiTheme="majorHAnsi"/>
                <w:sz w:val="22"/>
                <w:szCs w:val="22"/>
                <w:lang w:val="bg-BG"/>
              </w:rPr>
              <w:t>На 25.09.2015 г. бе публикуван за обществено обсъждане проект на Закона за държавните помощи</w:t>
            </w:r>
            <w:r w:rsidRPr="007C4468">
              <w:rPr>
                <w:rStyle w:val="FootnoteReference"/>
                <w:rFonts w:asciiTheme="majorHAnsi" w:hAnsiTheme="majorHAnsi"/>
                <w:sz w:val="22"/>
                <w:szCs w:val="22"/>
                <w:lang w:val="bg-BG"/>
              </w:rPr>
              <w:footnoteReference w:id="40"/>
            </w:r>
            <w:r w:rsidRPr="007C4468">
              <w:rPr>
                <w:rFonts w:asciiTheme="majorHAnsi" w:hAnsiTheme="majorHAnsi"/>
                <w:sz w:val="22"/>
                <w:szCs w:val="22"/>
                <w:lang w:val="bg-BG"/>
              </w:rPr>
              <w:t xml:space="preserve">. </w:t>
            </w:r>
          </w:p>
          <w:p w:rsidR="003C4E2B" w:rsidRPr="007C4468" w:rsidRDefault="003C4E2B" w:rsidP="003C4E2B">
            <w:pPr>
              <w:jc w:val="both"/>
              <w:rPr>
                <w:rFonts w:asciiTheme="majorHAnsi" w:hAnsiTheme="majorHAnsi"/>
                <w:sz w:val="22"/>
                <w:szCs w:val="22"/>
                <w:lang w:val="bg-BG"/>
              </w:rPr>
            </w:pPr>
            <w:r w:rsidRPr="007C4468">
              <w:rPr>
                <w:rFonts w:asciiTheme="majorHAnsi" w:hAnsiTheme="majorHAnsi"/>
                <w:sz w:val="22"/>
                <w:szCs w:val="22"/>
                <w:lang w:val="bg-BG"/>
              </w:rPr>
              <w:t xml:space="preserve">Същият вече бе предоставен за съгласуване в рамките на предходната съгласувателна процедура, през 2013 г. Текущите промени на проекта, спрямо тези от 2013 г., основно касаят включването на глава „Производство пред съд“, както и преподредба на текстовете в ЗДП. </w:t>
            </w:r>
          </w:p>
          <w:p w:rsidR="003C4E2B" w:rsidRPr="007C4468" w:rsidRDefault="003C4E2B" w:rsidP="003C4E2B">
            <w:pPr>
              <w:jc w:val="both"/>
              <w:rPr>
                <w:rFonts w:asciiTheme="majorHAnsi" w:hAnsiTheme="majorHAnsi"/>
                <w:sz w:val="22"/>
                <w:szCs w:val="22"/>
                <w:lang w:val="bg-BG"/>
              </w:rPr>
            </w:pPr>
            <w:r w:rsidRPr="007C4468">
              <w:rPr>
                <w:rFonts w:asciiTheme="majorHAnsi" w:hAnsiTheme="majorHAnsi"/>
                <w:sz w:val="22"/>
                <w:szCs w:val="22"/>
                <w:lang w:val="bg-BG"/>
              </w:rPr>
              <w:t xml:space="preserve">Срокът за предоставяне на бележки по проекта е 08.10.2015 г. </w:t>
            </w:r>
          </w:p>
          <w:p w:rsidR="00E231A6" w:rsidRPr="007C446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Одобрени мерки по ОРГО от Министерство на финансите </w:t>
            </w:r>
          </w:p>
          <w:p w:rsidR="002F4B48" w:rsidRPr="007C4468" w:rsidRDefault="002F4B48" w:rsidP="002F4B48">
            <w:pPr>
              <w:jc w:val="both"/>
              <w:rPr>
                <w:rFonts w:asciiTheme="majorHAnsi" w:hAnsiTheme="majorHAnsi"/>
                <w:sz w:val="22"/>
                <w:szCs w:val="22"/>
                <w:lang w:val="bg-BG"/>
              </w:rPr>
            </w:pPr>
            <w:r w:rsidRPr="007C4468">
              <w:rPr>
                <w:rFonts w:asciiTheme="majorHAnsi" w:hAnsiTheme="majorHAnsi"/>
                <w:sz w:val="22"/>
                <w:szCs w:val="22"/>
                <w:lang w:val="bg-BG"/>
              </w:rPr>
              <w:t>Няма нови одобрени мерки по ОРГО от Министерство на финансите.</w:t>
            </w:r>
          </w:p>
          <w:p w:rsidR="00E231A6" w:rsidRPr="007C4468" w:rsidRDefault="00E231A6" w:rsidP="00E231A6">
            <w:pPr>
              <w:jc w:val="both"/>
              <w:rPr>
                <w:rFonts w:asciiTheme="majorHAnsi" w:hAnsiTheme="majorHAnsi"/>
                <w:b/>
                <w:sz w:val="24"/>
                <w:szCs w:val="24"/>
                <w:lang w:val="bg-BG"/>
              </w:rPr>
            </w:pPr>
          </w:p>
          <w:p w:rsidR="00E231A6" w:rsidRPr="007C446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Други новини от Република България, свързани с режима по държавните помощи </w:t>
            </w:r>
          </w:p>
          <w:p w:rsidR="00E231A6" w:rsidRPr="007C4468" w:rsidRDefault="002D4676" w:rsidP="00E231A6">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Работн</w:t>
            </w:r>
            <w:r w:rsidR="00CD125E">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срещ</w:t>
            </w:r>
            <w:r w:rsidR="00CD125E">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 ЕК</w:t>
            </w:r>
          </w:p>
          <w:p w:rsidR="00764E83" w:rsidRPr="007C4468" w:rsidRDefault="002D4676" w:rsidP="00764E83">
            <w:pPr>
              <w:jc w:val="both"/>
              <w:rPr>
                <w:rFonts w:asciiTheme="majorHAnsi" w:hAnsiTheme="majorHAnsi"/>
                <w:sz w:val="24"/>
                <w:szCs w:val="24"/>
                <w:lang w:val="bg-BG"/>
              </w:rPr>
            </w:pPr>
            <w:r w:rsidRPr="007C4468">
              <w:rPr>
                <w:rFonts w:asciiTheme="majorHAnsi" w:hAnsiTheme="majorHAnsi"/>
                <w:sz w:val="24"/>
                <w:szCs w:val="24"/>
                <w:lang w:val="bg-BG"/>
              </w:rPr>
              <w:t>На 23.09.2015 г. в гр. Брюксел, Белгия се проведе среща на Работната група по инфраструктура и държавни помощи (РГИДП) във връзка с прилагане на модернизацията в режима по държавните помощи. РГИДП е формат на РГ на ГД „Конкуренция“ (ГДК), Европейска комисия</w:t>
            </w:r>
            <w:r w:rsidR="003C4E2B" w:rsidRPr="007C4468">
              <w:rPr>
                <w:rFonts w:asciiTheme="majorHAnsi" w:hAnsiTheme="majorHAnsi"/>
                <w:sz w:val="24"/>
                <w:szCs w:val="24"/>
                <w:lang w:val="bg-BG"/>
              </w:rPr>
              <w:t>.</w:t>
            </w:r>
            <w:r w:rsidRPr="007C4468">
              <w:rPr>
                <w:rFonts w:asciiTheme="majorHAnsi" w:hAnsiTheme="majorHAnsi"/>
                <w:sz w:val="24"/>
                <w:szCs w:val="24"/>
                <w:lang w:val="bg-BG"/>
              </w:rPr>
              <w:t xml:space="preserve"> </w:t>
            </w:r>
            <w:r w:rsidR="003C4E2B" w:rsidRPr="007C4468">
              <w:rPr>
                <w:rFonts w:asciiTheme="majorHAnsi" w:hAnsiTheme="majorHAnsi"/>
                <w:sz w:val="24"/>
                <w:szCs w:val="24"/>
                <w:lang w:val="bg-BG"/>
              </w:rPr>
              <w:t>Н</w:t>
            </w:r>
            <w:r w:rsidRPr="007C4468">
              <w:rPr>
                <w:rFonts w:asciiTheme="majorHAnsi" w:hAnsiTheme="majorHAnsi"/>
                <w:sz w:val="24"/>
                <w:szCs w:val="24"/>
                <w:lang w:val="bg-BG"/>
              </w:rPr>
              <w:t xml:space="preserve">а </w:t>
            </w:r>
            <w:r w:rsidRPr="007C4468">
              <w:rPr>
                <w:rFonts w:asciiTheme="majorHAnsi" w:hAnsiTheme="majorHAnsi"/>
                <w:sz w:val="24"/>
                <w:szCs w:val="24"/>
                <w:lang w:val="bg-BG"/>
              </w:rPr>
              <w:lastRenderedPageBreak/>
              <w:t>срещата участва</w:t>
            </w:r>
            <w:r w:rsidR="003C4E2B" w:rsidRPr="007C4468">
              <w:rPr>
                <w:rFonts w:asciiTheme="majorHAnsi" w:hAnsiTheme="majorHAnsi"/>
                <w:sz w:val="24"/>
                <w:szCs w:val="24"/>
                <w:lang w:val="bg-BG"/>
              </w:rPr>
              <w:t>ха</w:t>
            </w:r>
            <w:r w:rsidRPr="007C4468">
              <w:rPr>
                <w:rFonts w:asciiTheme="majorHAnsi" w:hAnsiTheme="majorHAnsi"/>
                <w:sz w:val="24"/>
                <w:szCs w:val="24"/>
                <w:lang w:val="bg-BG"/>
              </w:rPr>
              <w:t xml:space="preserve"> представителите на ГДК, както и представители от </w:t>
            </w:r>
            <w:r w:rsidR="00764E83" w:rsidRPr="007C4468">
              <w:rPr>
                <w:rFonts w:asciiTheme="majorHAnsi" w:hAnsiTheme="majorHAnsi"/>
                <w:sz w:val="24"/>
                <w:szCs w:val="24"/>
                <w:lang w:val="bg-BG"/>
              </w:rPr>
              <w:t>всички</w:t>
            </w:r>
            <w:r w:rsidRPr="007C4468">
              <w:rPr>
                <w:rFonts w:asciiTheme="majorHAnsi" w:hAnsiTheme="majorHAnsi"/>
                <w:sz w:val="24"/>
                <w:szCs w:val="24"/>
                <w:lang w:val="bg-BG"/>
              </w:rPr>
              <w:t xml:space="preserve"> държави-членки.</w:t>
            </w:r>
            <w:r w:rsidR="00764E83" w:rsidRPr="007C4468">
              <w:rPr>
                <w:rFonts w:asciiTheme="majorHAnsi" w:hAnsiTheme="majorHAnsi"/>
                <w:sz w:val="24"/>
                <w:szCs w:val="24"/>
                <w:lang w:val="bg-BG"/>
              </w:rPr>
              <w:t xml:space="preserve"> Българската делегация бе представена от експерти от дирекция „Държавни помощи и реален сектор“.</w:t>
            </w:r>
          </w:p>
          <w:p w:rsidR="002D4676" w:rsidRPr="007C4468" w:rsidRDefault="00764E83" w:rsidP="00764E83">
            <w:pPr>
              <w:jc w:val="both"/>
              <w:rPr>
                <w:rFonts w:asciiTheme="majorHAnsi" w:hAnsiTheme="majorHAnsi"/>
                <w:sz w:val="24"/>
                <w:szCs w:val="24"/>
                <w:lang w:val="bg-BG"/>
              </w:rPr>
            </w:pPr>
            <w:r w:rsidRPr="007C4468">
              <w:rPr>
                <w:rFonts w:asciiTheme="majorHAnsi" w:hAnsiTheme="majorHAnsi"/>
                <w:sz w:val="24"/>
                <w:szCs w:val="24"/>
                <w:lang w:val="bg-BG"/>
              </w:rPr>
              <w:t xml:space="preserve">В срещата бяха представени публикуваните от ЕК нови версии на документите „Аналитични матрици“, които Комисията е разработила към момента. </w:t>
            </w:r>
            <w:r w:rsidR="002D4676" w:rsidRPr="007C4468">
              <w:rPr>
                <w:rFonts w:asciiTheme="majorHAnsi" w:hAnsiTheme="majorHAnsi"/>
                <w:sz w:val="24"/>
                <w:szCs w:val="24"/>
                <w:lang w:val="bg-BG"/>
              </w:rPr>
              <w:t xml:space="preserve"> </w:t>
            </w:r>
          </w:p>
          <w:p w:rsidR="00764E83" w:rsidRPr="007C4468" w:rsidRDefault="00764E83" w:rsidP="00764E83">
            <w:pPr>
              <w:jc w:val="both"/>
              <w:rPr>
                <w:rFonts w:asciiTheme="majorHAnsi" w:hAnsiTheme="majorHAnsi"/>
                <w:sz w:val="24"/>
                <w:szCs w:val="24"/>
                <w:lang w:val="bg-BG"/>
              </w:rPr>
            </w:pPr>
            <w:r w:rsidRPr="007C4468">
              <w:rPr>
                <w:rFonts w:asciiTheme="majorHAnsi" w:hAnsiTheme="majorHAnsi"/>
                <w:sz w:val="24"/>
                <w:szCs w:val="24"/>
                <w:lang w:val="bg-BG"/>
              </w:rPr>
              <w:t>Бе очертана и ролята на JASPERS в подготовката на големи проекти, съ-финансирани от Европейските Структурните и Инвестиционни фондове (ЕСИФ).</w:t>
            </w:r>
          </w:p>
          <w:p w:rsidR="00764E83" w:rsidRPr="007C4468" w:rsidRDefault="00764E83" w:rsidP="00764E83">
            <w:pPr>
              <w:jc w:val="both"/>
              <w:rPr>
                <w:rFonts w:asciiTheme="majorHAnsi" w:hAnsiTheme="majorHAnsi"/>
                <w:sz w:val="24"/>
                <w:szCs w:val="24"/>
                <w:lang w:val="bg-BG"/>
              </w:rPr>
            </w:pPr>
            <w:r w:rsidRPr="007C4468">
              <w:rPr>
                <w:rFonts w:asciiTheme="majorHAnsi" w:hAnsiTheme="majorHAnsi"/>
                <w:sz w:val="24"/>
                <w:szCs w:val="24"/>
                <w:lang w:val="bg-BG"/>
              </w:rPr>
              <w:t>Накрат</w:t>
            </w:r>
            <w:r w:rsidR="00AE2418" w:rsidRPr="007C4468">
              <w:rPr>
                <w:rFonts w:asciiTheme="majorHAnsi" w:hAnsiTheme="majorHAnsi"/>
                <w:sz w:val="24"/>
                <w:szCs w:val="24"/>
                <w:lang w:val="bg-BG"/>
              </w:rPr>
              <w:t>к</w:t>
            </w:r>
            <w:r w:rsidRPr="007C4468">
              <w:rPr>
                <w:rFonts w:asciiTheme="majorHAnsi" w:hAnsiTheme="majorHAnsi"/>
                <w:sz w:val="24"/>
                <w:szCs w:val="24"/>
                <w:lang w:val="bg-BG"/>
              </w:rPr>
              <w:t xml:space="preserve">о бе представена информация за третирането на режима по ДП по </w:t>
            </w:r>
            <w:r w:rsidR="00AE2418" w:rsidRPr="007C4468">
              <w:rPr>
                <w:rFonts w:asciiTheme="majorHAnsi" w:hAnsiTheme="majorHAnsi"/>
                <w:sz w:val="24"/>
                <w:szCs w:val="24"/>
                <w:lang w:val="bg-BG"/>
              </w:rPr>
              <w:t xml:space="preserve">отношение на </w:t>
            </w:r>
            <w:r w:rsidRPr="007C4468">
              <w:rPr>
                <w:rFonts w:asciiTheme="majorHAnsi" w:hAnsiTheme="majorHAnsi"/>
                <w:sz w:val="24"/>
                <w:szCs w:val="24"/>
                <w:lang w:val="bg-BG"/>
              </w:rPr>
              <w:t>Европейския фонд за стратегически инвестиции (ЕФСИ)</w:t>
            </w:r>
            <w:r w:rsidR="00AE2418" w:rsidRPr="007C4468">
              <w:rPr>
                <w:rFonts w:asciiTheme="majorHAnsi" w:hAnsiTheme="majorHAnsi"/>
                <w:sz w:val="24"/>
                <w:szCs w:val="24"/>
                <w:lang w:val="bg-BG"/>
              </w:rPr>
              <w:t>.</w:t>
            </w:r>
          </w:p>
          <w:p w:rsidR="002D4676" w:rsidRPr="007C4468" w:rsidRDefault="002D4676" w:rsidP="00764E83">
            <w:pPr>
              <w:jc w:val="both"/>
              <w:rPr>
                <w:rFonts w:asciiTheme="majorHAnsi" w:hAnsiTheme="majorHAnsi"/>
                <w:sz w:val="24"/>
                <w:szCs w:val="24"/>
                <w:lang w:val="bg-BG"/>
              </w:rPr>
            </w:pPr>
          </w:p>
          <w:p w:rsidR="00E231A6" w:rsidRPr="007C446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Други </w:t>
            </w:r>
            <w:r w:rsidR="0069052B"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събития </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(обучения)</w:t>
            </w:r>
          </w:p>
          <w:p w:rsidR="00F27442" w:rsidRPr="007C4468" w:rsidRDefault="00F27442" w:rsidP="00F27442">
            <w:pPr>
              <w:jc w:val="both"/>
              <w:rPr>
                <w:rFonts w:asciiTheme="majorHAnsi" w:hAnsiTheme="majorHAnsi"/>
                <w:sz w:val="24"/>
                <w:szCs w:val="24"/>
                <w:lang w:val="bg-BG"/>
              </w:rPr>
            </w:pPr>
            <w:r w:rsidRPr="007C4468">
              <w:rPr>
                <w:rFonts w:asciiTheme="majorHAnsi" w:hAnsiTheme="majorHAnsi"/>
                <w:sz w:val="24"/>
                <w:szCs w:val="24"/>
                <w:lang w:val="bg-BG"/>
              </w:rPr>
              <w:t>На 23 септември 2015 г. експерти от дирекция „Държавни помощи и реален сектор“ в Министерство на финансите  взеха участие в специализирана конференция на тема "Икономиката в контрола на държавните помощи: „Къде право и икономика се пресичат</w:t>
            </w:r>
            <w:r w:rsidR="007C4468" w:rsidRPr="007C4468">
              <w:rPr>
                <w:rFonts w:asciiTheme="majorHAnsi" w:hAnsiTheme="majorHAnsi"/>
                <w:sz w:val="24"/>
                <w:szCs w:val="24"/>
                <w:lang w:val="bg-BG"/>
              </w:rPr>
              <w:t>“"</w:t>
            </w:r>
            <w:r w:rsidRPr="007C4468">
              <w:rPr>
                <w:rFonts w:asciiTheme="majorHAnsi" w:hAnsiTheme="majorHAnsi"/>
                <w:sz w:val="24"/>
                <w:szCs w:val="24"/>
                <w:lang w:val="bg-BG"/>
              </w:rPr>
              <w:t xml:space="preserve">. </w:t>
            </w:r>
          </w:p>
          <w:p w:rsidR="00F27442" w:rsidRPr="007C4468" w:rsidRDefault="00F27442" w:rsidP="00F27442">
            <w:pPr>
              <w:jc w:val="both"/>
              <w:rPr>
                <w:rFonts w:asciiTheme="majorHAnsi" w:hAnsiTheme="majorHAnsi"/>
                <w:sz w:val="24"/>
                <w:szCs w:val="24"/>
                <w:lang w:val="bg-BG"/>
              </w:rPr>
            </w:pPr>
            <w:r w:rsidRPr="007C4468">
              <w:rPr>
                <w:rFonts w:asciiTheme="majorHAnsi" w:hAnsiTheme="majorHAnsi"/>
                <w:sz w:val="24"/>
                <w:szCs w:val="24"/>
                <w:lang w:val="bg-BG"/>
              </w:rPr>
              <w:t>Конференцията бе организирана  от LEXXION, Германия. Събитието се проведе в гр. Брюксел, Белгия като участието на експертите от дирекцията бе финансирано от ОП „Техническа помощ“ 2007-2013 г.</w:t>
            </w:r>
          </w:p>
          <w:p w:rsidR="002D4676" w:rsidRPr="007C4468" w:rsidRDefault="002D4676" w:rsidP="002D4676">
            <w:pPr>
              <w:jc w:val="both"/>
              <w:rPr>
                <w:color w:val="1F497D"/>
                <w:highlight w:val="yellow"/>
                <w:lang w:val="bg-BG"/>
              </w:rPr>
            </w:pPr>
          </w:p>
          <w:p w:rsidR="002D4676" w:rsidRPr="007C4468" w:rsidRDefault="002D4676" w:rsidP="002D4676">
            <w:pPr>
              <w:spacing w:after="120"/>
              <w:jc w:val="both"/>
              <w:rPr>
                <w:lang w:val="bg-BG"/>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Предстоящи събития</w:t>
            </w:r>
            <w:r w:rsidRPr="007C4468">
              <w:rPr>
                <w:lang w:val="bg-BG"/>
              </w:rPr>
              <w:t xml:space="preserve"> </w:t>
            </w:r>
          </w:p>
          <w:p w:rsidR="00A207C6" w:rsidRPr="00A207C6" w:rsidRDefault="007C4468" w:rsidP="00A207C6">
            <w:pPr>
              <w:spacing w:after="120"/>
              <w:jc w:val="both"/>
              <w:rPr>
                <w:lang w:val="bg-BG"/>
              </w:rPr>
            </w:pPr>
            <w:r w:rsidRPr="00A207C6">
              <w:rPr>
                <w:rFonts w:asciiTheme="majorHAnsi" w:hAnsiTheme="majorHAnsi"/>
                <w:sz w:val="24"/>
                <w:szCs w:val="24"/>
                <w:lang w:val="bg-BG"/>
              </w:rPr>
              <w:t>На 07.10.2015 г., в Министерство на финансите, ще се проведе среща между представителя на Европейската комисия</w:t>
            </w:r>
            <w:r w:rsidR="00A207C6" w:rsidRPr="00A207C6">
              <w:rPr>
                <w:rFonts w:asciiTheme="majorHAnsi" w:hAnsiTheme="majorHAnsi"/>
                <w:sz w:val="24"/>
                <w:szCs w:val="24"/>
                <w:lang w:val="bg-BG"/>
              </w:rPr>
              <w:t>,</w:t>
            </w:r>
            <w:r w:rsidRPr="00A207C6">
              <w:rPr>
                <w:rFonts w:asciiTheme="majorHAnsi" w:hAnsiTheme="majorHAnsi"/>
                <w:sz w:val="24"/>
                <w:szCs w:val="24"/>
                <w:lang w:val="bg-BG"/>
              </w:rPr>
              <w:t xml:space="preserve"> отговор</w:t>
            </w:r>
            <w:r w:rsidR="00A967B3" w:rsidRPr="00A207C6">
              <w:rPr>
                <w:rFonts w:asciiTheme="majorHAnsi" w:hAnsiTheme="majorHAnsi"/>
                <w:sz w:val="24"/>
                <w:szCs w:val="24"/>
                <w:lang w:val="bg-BG"/>
              </w:rPr>
              <w:t>е</w:t>
            </w:r>
            <w:r w:rsidRPr="00A207C6">
              <w:rPr>
                <w:rFonts w:asciiTheme="majorHAnsi" w:hAnsiTheme="majorHAnsi"/>
                <w:sz w:val="24"/>
                <w:szCs w:val="24"/>
                <w:lang w:val="bg-BG"/>
              </w:rPr>
              <w:t xml:space="preserve">н по досиетата в областта на държавните помощи и в частност, по отношение на фискалните мерки в ГДК и координатор за Република България по въпросите за държавните помощи, определен от страна на Европейската комисия, и представители на </w:t>
            </w:r>
            <w:r w:rsidR="00A207C6" w:rsidRPr="00A207C6">
              <w:rPr>
                <w:rFonts w:asciiTheme="majorHAnsi" w:hAnsiTheme="majorHAnsi"/>
                <w:sz w:val="24"/>
                <w:szCs w:val="24"/>
                <w:lang w:val="bg-BG"/>
              </w:rPr>
              <w:t xml:space="preserve">Министерство на финансите </w:t>
            </w:r>
            <w:r w:rsidR="00A967B3" w:rsidRPr="00A207C6">
              <w:rPr>
                <w:rFonts w:asciiTheme="majorHAnsi" w:hAnsiTheme="majorHAnsi"/>
                <w:sz w:val="24"/>
                <w:szCs w:val="24"/>
                <w:lang w:val="bg-BG"/>
              </w:rPr>
              <w:t>–</w:t>
            </w:r>
            <w:r w:rsidR="00A207C6" w:rsidRPr="00A207C6">
              <w:rPr>
                <w:rFonts w:asciiTheme="majorHAnsi" w:hAnsiTheme="majorHAnsi"/>
                <w:sz w:val="24"/>
                <w:szCs w:val="24"/>
                <w:lang w:val="bg-BG"/>
              </w:rPr>
              <w:t xml:space="preserve"> </w:t>
            </w:r>
            <w:r w:rsidR="00A967B3" w:rsidRPr="00A207C6">
              <w:rPr>
                <w:rFonts w:asciiTheme="majorHAnsi" w:hAnsiTheme="majorHAnsi"/>
                <w:sz w:val="24"/>
                <w:szCs w:val="24"/>
                <w:lang w:val="bg-BG"/>
              </w:rPr>
              <w:t>Дирекция</w:t>
            </w:r>
            <w:r w:rsidR="00A207C6" w:rsidRPr="00A207C6">
              <w:rPr>
                <w:rFonts w:asciiTheme="majorHAnsi" w:hAnsiTheme="majorHAnsi"/>
                <w:sz w:val="24"/>
                <w:szCs w:val="24"/>
                <w:lang w:val="bg-BG"/>
              </w:rPr>
              <w:t xml:space="preserve"> „Държавни помощи и реален сектор“</w:t>
            </w:r>
            <w:r w:rsidRPr="00A207C6">
              <w:rPr>
                <w:rFonts w:asciiTheme="majorHAnsi" w:hAnsiTheme="majorHAnsi"/>
                <w:sz w:val="24"/>
                <w:szCs w:val="24"/>
                <w:lang w:val="bg-BG"/>
              </w:rPr>
              <w:t xml:space="preserve">, в рамките на Информационна програма на Европейската комисия в Република България, 5-7 октомври 2015 г. </w:t>
            </w:r>
          </w:p>
          <w:p w:rsidR="009B78BB" w:rsidRPr="007C4468" w:rsidRDefault="007C4468" w:rsidP="00A207C6">
            <w:pPr>
              <w:jc w:val="both"/>
              <w:rPr>
                <w:lang w:val="bg-BG"/>
              </w:rPr>
            </w:pPr>
            <w:r w:rsidRPr="00C10CC8">
              <w:rPr>
                <w:rFonts w:asciiTheme="majorHAnsi" w:hAnsiTheme="majorHAnsi"/>
                <w:sz w:val="24"/>
                <w:szCs w:val="24"/>
                <w:lang w:val="bg-BG"/>
              </w:rPr>
              <w:t xml:space="preserve">На 09.10.2015 г. в гр. Лисабон, Португалия ще се проведе среща на Работната група за прилагане на модернизацията на режима по държавни помощи (РГ МРДП). РГ МРДП е формат на РГ на държавите-членки (ДЧ) и на ГД „Конкуренция“ (ГДК), Европейска комисия (ЕК/Комисията) и на срещата ще участват представителите на ГДК, както и представители от останалите ДЧ. </w:t>
            </w:r>
          </w:p>
        </w:tc>
        <w:tc>
          <w:tcPr>
            <w:tcW w:w="2268" w:type="dxa"/>
          </w:tcPr>
          <w:p w:rsidR="00221E6C" w:rsidRPr="007C4468" w:rsidRDefault="009B78BB"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7C4468">
              <w:rPr>
                <w:rFonts w:asciiTheme="majorHAnsi" w:hAnsiTheme="majorHAnsi"/>
                <w:b/>
                <w:color w:val="000000" w:themeColor="text1"/>
                <w:sz w:val="32"/>
                <w:szCs w:val="32"/>
                <w:lang w:val="bg-BG"/>
                <w14:textOutline w14:w="9525" w14:cap="rnd" w14:cmpd="sng" w14:algn="ctr">
                  <w14:noFill/>
                  <w14:prstDash w14:val="solid"/>
                  <w14:bevel/>
                </w14:textOutline>
              </w:rPr>
              <w:lastRenderedPageBreak/>
              <w:t xml:space="preserve">По-важните акценти в </w:t>
            </w:r>
            <w:r w:rsidR="00995618" w:rsidRPr="007C4468">
              <w:rPr>
                <w:rFonts w:asciiTheme="majorHAnsi" w:hAnsiTheme="majorHAnsi"/>
                <w:b/>
                <w:color w:val="000000" w:themeColor="text1"/>
                <w:sz w:val="32"/>
                <w:szCs w:val="32"/>
                <w:lang w:val="bg-BG"/>
                <w14:textOutline w14:w="9525" w14:cap="rnd" w14:cmpd="sng" w14:algn="ctr">
                  <w14:noFill/>
                  <w14:prstDash w14:val="solid"/>
                  <w14:bevel/>
                </w14:textOutline>
              </w:rPr>
              <w:t>Бюлетина</w:t>
            </w:r>
            <w:r w:rsidR="00676CCC" w:rsidRPr="007C4468">
              <w:rPr>
                <w:rFonts w:asciiTheme="majorHAnsi" w:hAnsiTheme="majorHAnsi"/>
                <w:b/>
                <w:color w:val="000000" w:themeColor="text1"/>
                <w:sz w:val="32"/>
                <w:szCs w:val="32"/>
                <w:lang w:val="bg-BG"/>
                <w14:textOutline w14:w="9525" w14:cap="rnd" w14:cmpd="sng" w14:algn="ctr">
                  <w14:noFill/>
                  <w14:prstDash w14:val="solid"/>
                  <w14:bevel/>
                </w14:textOutline>
              </w:rPr>
              <w:t>:</w:t>
            </w:r>
          </w:p>
          <w:p w:rsidR="00713331" w:rsidRPr="007C4468" w:rsidRDefault="00C63CE5" w:rsidP="00F27442">
            <w:pPr>
              <w:jc w:val="both"/>
              <w:rPr>
                <w:rFonts w:asciiTheme="majorHAnsi" w:hAnsiTheme="majorHAnsi"/>
                <w:b/>
                <w:i/>
                <w:sz w:val="22"/>
                <w:szCs w:val="22"/>
                <w:lang w:val="bg-BG"/>
              </w:rPr>
            </w:pPr>
            <w:r w:rsidRPr="007C4468">
              <w:rPr>
                <w:rFonts w:asciiTheme="majorHAnsi" w:hAnsiTheme="majorHAnsi"/>
                <w:b/>
                <w:i/>
                <w:sz w:val="22"/>
                <w:szCs w:val="22"/>
                <w:lang w:val="bg-BG"/>
              </w:rPr>
              <w:t xml:space="preserve">Европейската комисия </w:t>
            </w:r>
            <w:r w:rsidR="00713331" w:rsidRPr="007C4468">
              <w:rPr>
                <w:rFonts w:asciiTheme="majorHAnsi" w:hAnsiTheme="majorHAnsi"/>
                <w:b/>
                <w:i/>
                <w:sz w:val="22"/>
                <w:szCs w:val="22"/>
                <w:lang w:val="bg-BG"/>
              </w:rPr>
              <w:t xml:space="preserve">открива процедура по </w:t>
            </w:r>
            <w:r w:rsidRPr="007C4468">
              <w:rPr>
                <w:rFonts w:asciiTheme="majorHAnsi" w:hAnsiTheme="majorHAnsi"/>
                <w:b/>
                <w:i/>
                <w:sz w:val="22"/>
                <w:szCs w:val="22"/>
                <w:lang w:val="bg-BG"/>
              </w:rPr>
              <w:t>задълбочен</w:t>
            </w:r>
            <w:r w:rsidR="00713331" w:rsidRPr="007C4468">
              <w:rPr>
                <w:rFonts w:asciiTheme="majorHAnsi" w:hAnsiTheme="majorHAnsi"/>
                <w:b/>
                <w:i/>
                <w:sz w:val="22"/>
                <w:szCs w:val="22"/>
                <w:lang w:val="bg-BG"/>
              </w:rPr>
              <w:t>о</w:t>
            </w:r>
            <w:r w:rsidRPr="007C4468">
              <w:rPr>
                <w:rFonts w:asciiTheme="majorHAnsi" w:hAnsiTheme="majorHAnsi"/>
                <w:b/>
                <w:i/>
                <w:sz w:val="22"/>
                <w:szCs w:val="22"/>
                <w:lang w:val="bg-BG"/>
              </w:rPr>
              <w:t xml:space="preserve"> разследван</w:t>
            </w:r>
            <w:r w:rsidR="00713331" w:rsidRPr="007C4468">
              <w:rPr>
                <w:rFonts w:asciiTheme="majorHAnsi" w:hAnsiTheme="majorHAnsi"/>
                <w:b/>
                <w:i/>
                <w:sz w:val="22"/>
                <w:szCs w:val="22"/>
                <w:lang w:val="bg-BG"/>
              </w:rPr>
              <w:t>е</w:t>
            </w:r>
            <w:r w:rsidRPr="007C4468">
              <w:rPr>
                <w:rFonts w:asciiTheme="majorHAnsi" w:hAnsiTheme="majorHAnsi"/>
                <w:b/>
                <w:i/>
                <w:sz w:val="22"/>
                <w:szCs w:val="22"/>
                <w:lang w:val="bg-BG"/>
              </w:rPr>
              <w:t xml:space="preserve">   </w:t>
            </w:r>
            <w:r w:rsidR="00F27442" w:rsidRPr="007C4468">
              <w:rPr>
                <w:rFonts w:asciiTheme="majorHAnsi" w:hAnsiTheme="majorHAnsi"/>
                <w:b/>
                <w:i/>
                <w:sz w:val="22"/>
                <w:szCs w:val="22"/>
                <w:lang w:val="bg-BG"/>
              </w:rPr>
              <w:t xml:space="preserve">по </w:t>
            </w:r>
            <w:r w:rsidR="00713331" w:rsidRPr="007C4468">
              <w:rPr>
                <w:rFonts w:asciiTheme="majorHAnsi" w:hAnsiTheme="majorHAnsi"/>
                <w:b/>
                <w:i/>
                <w:sz w:val="22"/>
                <w:szCs w:val="22"/>
                <w:lang w:val="bg-BG"/>
              </w:rPr>
              <w:t xml:space="preserve">мерки за 2 </w:t>
            </w:r>
            <w:r w:rsidRPr="007C4468">
              <w:rPr>
                <w:rFonts w:asciiTheme="majorHAnsi" w:hAnsiTheme="majorHAnsi"/>
                <w:b/>
                <w:i/>
                <w:sz w:val="22"/>
                <w:szCs w:val="22"/>
                <w:lang w:val="bg-BG"/>
              </w:rPr>
              <w:t>румънски летища и</w:t>
            </w:r>
            <w:r w:rsidR="00713331" w:rsidRPr="007C4468">
              <w:rPr>
                <w:rFonts w:asciiTheme="majorHAnsi" w:hAnsiTheme="majorHAnsi"/>
                <w:b/>
                <w:i/>
                <w:sz w:val="22"/>
                <w:szCs w:val="22"/>
                <w:lang w:val="bg-BG"/>
              </w:rPr>
              <w:t xml:space="preserve"> авиокомпании</w:t>
            </w:r>
            <w:r w:rsidR="00BF248E" w:rsidRPr="007C4468">
              <w:rPr>
                <w:rStyle w:val="FootnoteReference"/>
                <w:rFonts w:asciiTheme="majorHAnsi" w:hAnsiTheme="majorHAnsi"/>
                <w:b/>
                <w:i/>
                <w:sz w:val="22"/>
                <w:szCs w:val="22"/>
                <w:lang w:val="bg-BG"/>
              </w:rPr>
              <w:footnoteReference w:id="41"/>
            </w:r>
          </w:p>
          <w:p w:rsidR="00221E6C" w:rsidRPr="007C4468" w:rsidRDefault="007D4306" w:rsidP="00F27442">
            <w:pPr>
              <w:jc w:val="both"/>
              <w:rPr>
                <w:rFonts w:asciiTheme="majorHAnsi" w:hAnsiTheme="majorHAnsi"/>
                <w:i/>
                <w:lang w:val="bg-BG"/>
              </w:rPr>
            </w:pPr>
            <w:r w:rsidRPr="007C4468">
              <w:rPr>
                <w:rFonts w:asciiTheme="majorHAnsi" w:hAnsiTheme="majorHAnsi"/>
                <w:i/>
                <w:lang w:val="bg-BG"/>
              </w:rPr>
              <w:t xml:space="preserve">ЕК е отворила 2 отделни процедури по задълбочено </w:t>
            </w:r>
            <w:r w:rsidR="00F85E88" w:rsidRPr="007C4468">
              <w:rPr>
                <w:rFonts w:asciiTheme="majorHAnsi" w:hAnsiTheme="majorHAnsi"/>
                <w:i/>
                <w:lang w:val="bg-BG"/>
              </w:rPr>
              <w:t>разследване за проучване на мерки в полза на 2 летища държавна собственост в Трансилвания и</w:t>
            </w:r>
            <w:r w:rsidR="00F27442" w:rsidRPr="007C4468">
              <w:rPr>
                <w:rFonts w:asciiTheme="majorHAnsi" w:hAnsiTheme="majorHAnsi"/>
                <w:i/>
                <w:lang w:val="bg-BG"/>
              </w:rPr>
              <w:t xml:space="preserve"> </w:t>
            </w:r>
            <w:r w:rsidR="00C63CE5" w:rsidRPr="007C4468">
              <w:rPr>
                <w:rFonts w:asciiTheme="majorHAnsi" w:hAnsiTheme="majorHAnsi"/>
                <w:i/>
                <w:lang w:val="bg-BG"/>
              </w:rPr>
              <w:t>по</w:t>
            </w:r>
            <w:r w:rsidR="00F27442" w:rsidRPr="007C4468">
              <w:rPr>
                <w:rFonts w:asciiTheme="majorHAnsi" w:hAnsiTheme="majorHAnsi"/>
                <w:i/>
                <w:lang w:val="bg-BG"/>
              </w:rPr>
              <w:t>-</w:t>
            </w:r>
            <w:r w:rsidR="00C63CE5" w:rsidRPr="007C4468">
              <w:rPr>
                <w:rFonts w:asciiTheme="majorHAnsi" w:hAnsiTheme="majorHAnsi"/>
                <w:i/>
                <w:lang w:val="bg-BG"/>
              </w:rPr>
              <w:t xml:space="preserve">специално дали </w:t>
            </w:r>
            <w:r w:rsidR="00F85E88" w:rsidRPr="007C4468">
              <w:rPr>
                <w:rFonts w:asciiTheme="majorHAnsi" w:hAnsiTheme="majorHAnsi"/>
                <w:i/>
                <w:lang w:val="bg-BG"/>
              </w:rPr>
              <w:t xml:space="preserve">същите са в съответствие </w:t>
            </w:r>
            <w:r w:rsidR="00C63CE5" w:rsidRPr="007C4468">
              <w:rPr>
                <w:rFonts w:asciiTheme="majorHAnsi" w:hAnsiTheme="majorHAnsi"/>
                <w:i/>
                <w:lang w:val="bg-BG"/>
              </w:rPr>
              <w:t xml:space="preserve"> на европейските  изисквания за държавни</w:t>
            </w:r>
            <w:r w:rsidR="00F85E88" w:rsidRPr="007C4468">
              <w:rPr>
                <w:rFonts w:asciiTheme="majorHAnsi" w:hAnsiTheme="majorHAnsi"/>
                <w:i/>
                <w:lang w:val="bg-BG"/>
              </w:rPr>
              <w:t>те</w:t>
            </w:r>
            <w:r w:rsidR="00C63CE5" w:rsidRPr="007C4468">
              <w:rPr>
                <w:rFonts w:asciiTheme="majorHAnsi" w:hAnsiTheme="majorHAnsi"/>
                <w:i/>
                <w:lang w:val="bg-BG"/>
              </w:rPr>
              <w:t xml:space="preserve"> помощи. Разследванията </w:t>
            </w:r>
            <w:r w:rsidR="00F85E88" w:rsidRPr="007C4468">
              <w:rPr>
                <w:rFonts w:asciiTheme="majorHAnsi" w:hAnsiTheme="majorHAnsi"/>
                <w:i/>
                <w:lang w:val="bg-BG"/>
              </w:rPr>
              <w:t>касаят</w:t>
            </w:r>
            <w:r w:rsidR="00C63CE5" w:rsidRPr="007C4468">
              <w:rPr>
                <w:rFonts w:asciiTheme="majorHAnsi" w:hAnsiTheme="majorHAnsi"/>
                <w:i/>
                <w:lang w:val="bg-BG"/>
              </w:rPr>
              <w:t xml:space="preserve">  основно маркетин</w:t>
            </w:r>
            <w:r w:rsidR="00F85E88" w:rsidRPr="007C4468">
              <w:rPr>
                <w:rFonts w:asciiTheme="majorHAnsi" w:hAnsiTheme="majorHAnsi"/>
                <w:i/>
                <w:lang w:val="bg-BG"/>
              </w:rPr>
              <w:t>г</w:t>
            </w:r>
            <w:r w:rsidR="00C63CE5" w:rsidRPr="007C4468">
              <w:rPr>
                <w:rFonts w:asciiTheme="majorHAnsi" w:hAnsiTheme="majorHAnsi"/>
                <w:i/>
                <w:lang w:val="bg-BG"/>
              </w:rPr>
              <w:t>овите такси</w:t>
            </w:r>
            <w:r w:rsidR="00F85E88" w:rsidRPr="007C4468">
              <w:rPr>
                <w:rFonts w:asciiTheme="majorHAnsi" w:hAnsiTheme="majorHAnsi"/>
                <w:i/>
                <w:lang w:val="bg-BG"/>
              </w:rPr>
              <w:t>,</w:t>
            </w:r>
            <w:r w:rsidR="00C63CE5" w:rsidRPr="007C4468">
              <w:rPr>
                <w:rFonts w:asciiTheme="majorHAnsi" w:hAnsiTheme="majorHAnsi"/>
                <w:i/>
                <w:lang w:val="bg-BG"/>
              </w:rPr>
              <w:t xml:space="preserve"> платени на компанията Wizz Air от международното летище </w:t>
            </w:r>
            <w:r w:rsidR="00F85E88" w:rsidRPr="007C4468">
              <w:rPr>
                <w:rFonts w:asciiTheme="majorHAnsi" w:hAnsiTheme="majorHAnsi"/>
                <w:i/>
                <w:lang w:val="bg-BG"/>
              </w:rPr>
              <w:t xml:space="preserve">Cluj-Napoca International Airport и ниските летищни  такси, предложени от </w:t>
            </w:r>
            <w:r w:rsidR="00F85E88" w:rsidRPr="007C4468">
              <w:rPr>
                <w:rFonts w:asciiTheme="majorHAnsi" w:hAnsiTheme="majorHAnsi"/>
                <w:i/>
                <w:lang w:val="bg-BG"/>
              </w:rPr>
              <w:lastRenderedPageBreak/>
              <w:t xml:space="preserve">летището в Трансилвания </w:t>
            </w:r>
            <w:r w:rsidR="00C63CE5" w:rsidRPr="007C4468">
              <w:rPr>
                <w:rFonts w:asciiTheme="majorHAnsi" w:hAnsiTheme="majorHAnsi"/>
                <w:i/>
                <w:lang w:val="bg-BG"/>
              </w:rPr>
              <w:t>Târgu Mureş Transilvania Airport за авиокомпании, опериращи там.</w:t>
            </w:r>
            <w:r w:rsidR="00F85E88" w:rsidRPr="007C4468">
              <w:rPr>
                <w:rFonts w:asciiTheme="majorHAnsi" w:hAnsiTheme="majorHAnsi"/>
                <w:i/>
                <w:lang w:val="bg-BG"/>
              </w:rPr>
              <w:t xml:space="preserve"> </w:t>
            </w:r>
            <w:r w:rsidR="00C63CE5" w:rsidRPr="007C4468">
              <w:rPr>
                <w:rFonts w:asciiTheme="majorHAnsi" w:hAnsiTheme="majorHAnsi"/>
                <w:i/>
                <w:lang w:val="bg-BG"/>
              </w:rPr>
              <w:t xml:space="preserve">Освен това комисията ще </w:t>
            </w:r>
            <w:r w:rsidR="00F85E88" w:rsidRPr="007C4468">
              <w:rPr>
                <w:rFonts w:asciiTheme="majorHAnsi" w:hAnsiTheme="majorHAnsi"/>
                <w:i/>
                <w:lang w:val="bg-BG"/>
              </w:rPr>
              <w:t>разследва и</w:t>
            </w:r>
            <w:r w:rsidR="00C63CE5" w:rsidRPr="007C4468">
              <w:rPr>
                <w:rFonts w:asciiTheme="majorHAnsi" w:hAnsiTheme="majorHAnsi"/>
                <w:i/>
                <w:lang w:val="bg-BG"/>
              </w:rPr>
              <w:t xml:space="preserve"> субсидиите от страна на местните власти към самите летища. Образуването на производство дава на заинтересованите страни възможност да </w:t>
            </w:r>
            <w:r w:rsidR="00F85E88" w:rsidRPr="007C4468">
              <w:rPr>
                <w:rFonts w:asciiTheme="majorHAnsi" w:hAnsiTheme="majorHAnsi"/>
                <w:i/>
                <w:lang w:val="bg-BG"/>
              </w:rPr>
              <w:t xml:space="preserve"> изпратят коментарите</w:t>
            </w:r>
            <w:r w:rsidR="00C63CE5" w:rsidRPr="007C4468">
              <w:rPr>
                <w:rFonts w:asciiTheme="majorHAnsi" w:hAnsiTheme="majorHAnsi"/>
                <w:i/>
                <w:lang w:val="bg-BG"/>
              </w:rPr>
              <w:t xml:space="preserve"> </w:t>
            </w:r>
            <w:r w:rsidR="00F85E88" w:rsidRPr="007C4468">
              <w:rPr>
                <w:rFonts w:asciiTheme="majorHAnsi" w:hAnsiTheme="majorHAnsi"/>
                <w:i/>
                <w:lang w:val="bg-BG"/>
              </w:rPr>
              <w:t>по</w:t>
            </w:r>
            <w:r w:rsidR="00C63CE5" w:rsidRPr="007C4468">
              <w:rPr>
                <w:rFonts w:asciiTheme="majorHAnsi" w:hAnsiTheme="majorHAnsi"/>
                <w:i/>
                <w:lang w:val="bg-BG"/>
              </w:rPr>
              <w:t xml:space="preserve"> мерките, предмет на оценка. Това</w:t>
            </w:r>
            <w:r w:rsidR="006A783A" w:rsidRPr="007C4468">
              <w:rPr>
                <w:rFonts w:asciiTheme="majorHAnsi" w:hAnsiTheme="majorHAnsi"/>
                <w:i/>
                <w:lang w:val="bg-BG"/>
              </w:rPr>
              <w:t>, обаче,</w:t>
            </w:r>
            <w:r w:rsidR="00C63CE5" w:rsidRPr="007C4468">
              <w:rPr>
                <w:rFonts w:asciiTheme="majorHAnsi" w:hAnsiTheme="majorHAnsi"/>
                <w:i/>
                <w:lang w:val="bg-BG"/>
              </w:rPr>
              <w:t xml:space="preserve"> не предрешава резултата от разследването</w:t>
            </w:r>
            <w:r w:rsidR="00BF248E" w:rsidRPr="007C4468">
              <w:rPr>
                <w:rFonts w:asciiTheme="majorHAnsi" w:hAnsiTheme="majorHAnsi"/>
                <w:i/>
                <w:lang w:val="bg-BG"/>
              </w:rPr>
              <w:t>.</w:t>
            </w:r>
          </w:p>
          <w:p w:rsidR="00BF248E" w:rsidRPr="007C4468" w:rsidRDefault="000416A8" w:rsidP="00E34E8E">
            <w:pPr>
              <w:jc w:val="both"/>
              <w:rPr>
                <w:rFonts w:asciiTheme="majorHAnsi" w:hAnsiTheme="majorHAnsi"/>
                <w:b/>
                <w:i/>
                <w:color w:val="000000" w:themeColor="text1"/>
                <w:sz w:val="22"/>
                <w:szCs w:val="22"/>
                <w:lang w:val="bg-BG"/>
              </w:rPr>
            </w:pPr>
            <w:r w:rsidRPr="007C4468">
              <w:rPr>
                <w:rFonts w:asciiTheme="majorHAnsi" w:hAnsiTheme="majorHAnsi"/>
                <w:b/>
                <w:i/>
                <w:color w:val="000000" w:themeColor="text1"/>
                <w:sz w:val="22"/>
                <w:szCs w:val="22"/>
                <w:lang w:val="bg-BG"/>
              </w:rPr>
              <w:t xml:space="preserve"> </w:t>
            </w:r>
          </w:p>
          <w:p w:rsidR="00BF248E" w:rsidRPr="007C4468" w:rsidRDefault="000416A8" w:rsidP="00E34E8E">
            <w:pPr>
              <w:jc w:val="both"/>
              <w:rPr>
                <w:rFonts w:asciiTheme="majorHAnsi" w:hAnsiTheme="majorHAnsi"/>
                <w:b/>
                <w:i/>
                <w:color w:val="000000" w:themeColor="text1"/>
                <w:sz w:val="22"/>
                <w:szCs w:val="22"/>
                <w:lang w:val="bg-BG"/>
              </w:rPr>
            </w:pPr>
            <w:r w:rsidRPr="007C4468">
              <w:rPr>
                <w:rFonts w:asciiTheme="majorHAnsi" w:hAnsiTheme="majorHAnsi"/>
                <w:b/>
                <w:i/>
                <w:sz w:val="22"/>
                <w:szCs w:val="22"/>
                <w:lang w:val="bg-BG"/>
              </w:rPr>
              <w:t xml:space="preserve">Комисията изправи Франция пред </w:t>
            </w:r>
            <w:r w:rsidR="00BF248E" w:rsidRPr="007C4468">
              <w:rPr>
                <w:rFonts w:asciiTheme="majorHAnsi" w:hAnsiTheme="majorHAnsi"/>
                <w:b/>
                <w:i/>
                <w:sz w:val="22"/>
                <w:szCs w:val="22"/>
                <w:lang w:val="bg-BG"/>
              </w:rPr>
              <w:t>С</w:t>
            </w:r>
            <w:r w:rsidRPr="007C4468">
              <w:rPr>
                <w:rFonts w:asciiTheme="majorHAnsi" w:hAnsiTheme="majorHAnsi"/>
                <w:b/>
                <w:i/>
                <w:sz w:val="22"/>
                <w:szCs w:val="22"/>
                <w:lang w:val="bg-BG"/>
              </w:rPr>
              <w:t>ъд</w:t>
            </w:r>
            <w:r w:rsidR="00BF248E" w:rsidRPr="007C4468">
              <w:rPr>
                <w:rFonts w:asciiTheme="majorHAnsi" w:hAnsiTheme="majorHAnsi"/>
                <w:b/>
                <w:i/>
                <w:sz w:val="22"/>
                <w:szCs w:val="22"/>
                <w:lang w:val="bg-BG"/>
              </w:rPr>
              <w:t>а</w:t>
            </w:r>
            <w:r w:rsidRPr="007C4468">
              <w:rPr>
                <w:rFonts w:asciiTheme="majorHAnsi" w:hAnsiTheme="majorHAnsi"/>
                <w:b/>
                <w:i/>
                <w:sz w:val="22"/>
                <w:szCs w:val="22"/>
                <w:lang w:val="bg-BG"/>
              </w:rPr>
              <w:t xml:space="preserve"> за неизпълнение на възстановяване</w:t>
            </w:r>
            <w:r w:rsidR="009109F0" w:rsidRPr="007C4468">
              <w:rPr>
                <w:rFonts w:asciiTheme="majorHAnsi" w:hAnsiTheme="majorHAnsi"/>
                <w:b/>
                <w:i/>
                <w:sz w:val="22"/>
                <w:szCs w:val="22"/>
                <w:lang w:val="bg-BG"/>
              </w:rPr>
              <w:t>-</w:t>
            </w:r>
            <w:r w:rsidRPr="007C4468">
              <w:rPr>
                <w:rFonts w:asciiTheme="majorHAnsi" w:hAnsiTheme="majorHAnsi"/>
                <w:b/>
                <w:i/>
                <w:sz w:val="22"/>
                <w:szCs w:val="22"/>
                <w:lang w:val="bg-BG"/>
              </w:rPr>
              <w:t>то на несъвместима помощ от авиокомпании</w:t>
            </w:r>
            <w:r w:rsidR="00BF248E" w:rsidRPr="007C4468">
              <w:rPr>
                <w:rStyle w:val="FootnoteReference"/>
                <w:rFonts w:asciiTheme="majorHAnsi" w:hAnsiTheme="majorHAnsi"/>
                <w:b/>
                <w:i/>
                <w:sz w:val="22"/>
                <w:szCs w:val="22"/>
                <w:lang w:val="bg-BG"/>
              </w:rPr>
              <w:footnoteReference w:id="42"/>
            </w:r>
          </w:p>
          <w:p w:rsidR="0088090E" w:rsidRPr="007C4468" w:rsidRDefault="000416A8" w:rsidP="00E34E8E">
            <w:pPr>
              <w:jc w:val="both"/>
              <w:rPr>
                <w:rFonts w:asciiTheme="majorHAnsi" w:hAnsiTheme="majorHAnsi"/>
                <w:i/>
                <w:lang w:val="bg-BG"/>
              </w:rPr>
            </w:pPr>
            <w:r w:rsidRPr="007C4468">
              <w:rPr>
                <w:rFonts w:asciiTheme="majorHAnsi" w:hAnsiTheme="majorHAnsi"/>
                <w:i/>
                <w:lang w:val="bg-BG"/>
              </w:rPr>
              <w:t>Европейската комисия изправя Фран</w:t>
            </w:r>
            <w:r w:rsidR="00647A1B" w:rsidRPr="007C4468">
              <w:rPr>
                <w:rFonts w:asciiTheme="majorHAnsi" w:hAnsiTheme="majorHAnsi"/>
                <w:i/>
                <w:lang w:val="bg-BG"/>
              </w:rPr>
              <w:t xml:space="preserve">ция пред </w:t>
            </w:r>
            <w:r w:rsidR="009109F0" w:rsidRPr="007C4468">
              <w:rPr>
                <w:rFonts w:asciiTheme="majorHAnsi" w:hAnsiTheme="majorHAnsi"/>
                <w:i/>
                <w:lang w:val="bg-BG"/>
              </w:rPr>
              <w:t>С</w:t>
            </w:r>
            <w:r w:rsidR="00647A1B" w:rsidRPr="007C4468">
              <w:rPr>
                <w:rFonts w:asciiTheme="majorHAnsi" w:hAnsiTheme="majorHAnsi"/>
                <w:i/>
                <w:lang w:val="bg-BG"/>
              </w:rPr>
              <w:t xml:space="preserve">ъда за неизпълнение </w:t>
            </w:r>
            <w:r w:rsidRPr="007C4468">
              <w:rPr>
                <w:rFonts w:asciiTheme="majorHAnsi" w:hAnsiTheme="majorHAnsi"/>
                <w:i/>
                <w:lang w:val="bg-BG"/>
              </w:rPr>
              <w:t xml:space="preserve"> на задължението за възстановяване на несъвместима помощ, получена от Ryanair и неговото дъщерно дружество </w:t>
            </w:r>
            <w:r w:rsidR="009109F0" w:rsidRPr="007C4468">
              <w:rPr>
                <w:rFonts w:asciiTheme="majorHAnsi" w:hAnsiTheme="majorHAnsi"/>
                <w:i/>
                <w:lang w:val="bg-BG"/>
              </w:rPr>
              <w:t>л</w:t>
            </w:r>
            <w:r w:rsidRPr="007C4468">
              <w:rPr>
                <w:rFonts w:asciiTheme="majorHAnsi" w:hAnsiTheme="majorHAnsi"/>
                <w:i/>
                <w:lang w:val="bg-BG"/>
              </w:rPr>
              <w:t xml:space="preserve">етище </w:t>
            </w:r>
            <w:r w:rsidR="00BF248E" w:rsidRPr="007C4468">
              <w:rPr>
                <w:rFonts w:asciiTheme="majorHAnsi" w:hAnsiTheme="majorHAnsi"/>
                <w:i/>
                <w:lang w:val="bg-BG"/>
              </w:rPr>
              <w:t xml:space="preserve">Airport </w:t>
            </w:r>
            <w:r w:rsidRPr="007C4468">
              <w:rPr>
                <w:rFonts w:asciiTheme="majorHAnsi" w:hAnsiTheme="majorHAnsi"/>
                <w:i/>
                <w:lang w:val="bg-BG"/>
              </w:rPr>
              <w:t xml:space="preserve">Marketing Services (AMS) за използване на летищата Пау, Ним и Ангулем, както и за използване на </w:t>
            </w:r>
            <w:r w:rsidR="00E627E3" w:rsidRPr="007C4468">
              <w:rPr>
                <w:rFonts w:asciiTheme="majorHAnsi" w:hAnsiTheme="majorHAnsi"/>
                <w:i/>
                <w:lang w:val="bg-BG"/>
              </w:rPr>
              <w:t xml:space="preserve">летище </w:t>
            </w:r>
            <w:r w:rsidRPr="007C4468">
              <w:rPr>
                <w:rFonts w:asciiTheme="majorHAnsi" w:hAnsiTheme="majorHAnsi"/>
                <w:i/>
                <w:lang w:val="bg-BG"/>
              </w:rPr>
              <w:lastRenderedPageBreak/>
              <w:t>Пау Transavia</w:t>
            </w:r>
            <w:r w:rsidR="009109F0" w:rsidRPr="007C4468">
              <w:rPr>
                <w:rFonts w:asciiTheme="majorHAnsi" w:hAnsiTheme="majorHAnsi"/>
                <w:i/>
                <w:lang w:val="bg-BG"/>
              </w:rPr>
              <w:t>.</w:t>
            </w:r>
          </w:p>
          <w:p w:rsidR="009109F0" w:rsidRPr="007C4468" w:rsidRDefault="009109F0" w:rsidP="00E34E8E">
            <w:pPr>
              <w:jc w:val="both"/>
              <w:rPr>
                <w:rFonts w:asciiTheme="majorHAnsi" w:hAnsiTheme="majorHAnsi"/>
                <w:b/>
                <w:i/>
                <w:color w:val="000000" w:themeColor="text1"/>
                <w:sz w:val="22"/>
                <w:szCs w:val="22"/>
                <w:lang w:val="bg-BG"/>
              </w:rPr>
            </w:pPr>
          </w:p>
          <w:p w:rsidR="00E34E8E" w:rsidRPr="007C4468" w:rsidRDefault="00647A1B" w:rsidP="00E34E8E">
            <w:pPr>
              <w:jc w:val="both"/>
              <w:rPr>
                <w:rFonts w:asciiTheme="majorHAnsi" w:hAnsiTheme="majorHAnsi"/>
                <w:i/>
                <w:color w:val="000000" w:themeColor="text1"/>
                <w:highlight w:val="yellow"/>
                <w:lang w:val="bg-BG"/>
              </w:rPr>
            </w:pPr>
            <w:r w:rsidRPr="007C4468">
              <w:rPr>
                <w:rFonts w:asciiTheme="majorHAnsi" w:hAnsiTheme="majorHAnsi"/>
                <w:b/>
                <w:i/>
                <w:color w:val="000000" w:themeColor="text1"/>
                <w:sz w:val="22"/>
                <w:szCs w:val="22"/>
                <w:lang w:val="bg-BG"/>
              </w:rPr>
              <w:t>Eвропейската комисия публикува доклади на държавите</w:t>
            </w:r>
            <w:r w:rsidR="008028DD" w:rsidRPr="007C4468">
              <w:rPr>
                <w:rFonts w:asciiTheme="majorHAnsi" w:hAnsiTheme="majorHAnsi"/>
                <w:b/>
                <w:i/>
                <w:color w:val="000000" w:themeColor="text1"/>
                <w:sz w:val="22"/>
                <w:szCs w:val="22"/>
                <w:lang w:val="bg-BG"/>
              </w:rPr>
              <w:t>-</w:t>
            </w:r>
            <w:r w:rsidRPr="007C4468">
              <w:rPr>
                <w:rFonts w:asciiTheme="majorHAnsi" w:hAnsiTheme="majorHAnsi"/>
                <w:b/>
                <w:i/>
                <w:color w:val="000000" w:themeColor="text1"/>
                <w:sz w:val="22"/>
                <w:szCs w:val="22"/>
                <w:lang w:val="bg-BG"/>
              </w:rPr>
              <w:t xml:space="preserve"> членки,</w:t>
            </w:r>
            <w:r w:rsidR="008028DD" w:rsidRPr="007C4468">
              <w:rPr>
                <w:rFonts w:asciiTheme="majorHAnsi" w:hAnsiTheme="majorHAnsi"/>
                <w:b/>
                <w:i/>
                <w:color w:val="000000" w:themeColor="text1"/>
                <w:sz w:val="22"/>
                <w:szCs w:val="22"/>
                <w:lang w:val="bg-BG"/>
              </w:rPr>
              <w:t xml:space="preserve"> с</w:t>
            </w:r>
            <w:r w:rsidRPr="007C4468">
              <w:rPr>
                <w:rFonts w:asciiTheme="majorHAnsi" w:hAnsiTheme="majorHAnsi"/>
                <w:b/>
                <w:i/>
                <w:color w:val="000000" w:themeColor="text1"/>
                <w:sz w:val="22"/>
                <w:szCs w:val="22"/>
                <w:lang w:val="bg-BG"/>
              </w:rPr>
              <w:t xml:space="preserve"> цел</w:t>
            </w:r>
            <w:r w:rsidR="009109F0" w:rsidRPr="007C4468">
              <w:rPr>
                <w:rFonts w:asciiTheme="majorHAnsi" w:hAnsiTheme="majorHAnsi"/>
                <w:b/>
                <w:i/>
                <w:color w:val="000000" w:themeColor="text1"/>
                <w:sz w:val="22"/>
                <w:szCs w:val="22"/>
                <w:lang w:val="bg-BG"/>
              </w:rPr>
              <w:t xml:space="preserve"> </w:t>
            </w:r>
            <w:r w:rsidRPr="007C4468">
              <w:rPr>
                <w:rFonts w:asciiTheme="majorHAnsi" w:hAnsiTheme="majorHAnsi"/>
                <w:b/>
                <w:i/>
                <w:color w:val="000000" w:themeColor="text1"/>
                <w:sz w:val="22"/>
                <w:szCs w:val="22"/>
                <w:lang w:val="bg-BG"/>
              </w:rPr>
              <w:t>да предостав</w:t>
            </w:r>
            <w:r w:rsidR="008028DD" w:rsidRPr="007C4468">
              <w:rPr>
                <w:rFonts w:asciiTheme="majorHAnsi" w:hAnsiTheme="majorHAnsi"/>
                <w:b/>
                <w:i/>
                <w:color w:val="000000" w:themeColor="text1"/>
                <w:sz w:val="22"/>
                <w:szCs w:val="22"/>
                <w:lang w:val="bg-BG"/>
              </w:rPr>
              <w:t>и</w:t>
            </w:r>
            <w:r w:rsidRPr="007C4468">
              <w:rPr>
                <w:rFonts w:asciiTheme="majorHAnsi" w:hAnsiTheme="majorHAnsi"/>
                <w:b/>
                <w:i/>
                <w:color w:val="000000" w:themeColor="text1"/>
                <w:sz w:val="22"/>
                <w:szCs w:val="22"/>
                <w:lang w:val="bg-BG"/>
              </w:rPr>
              <w:t xml:space="preserve"> повече прозрачност на публичн</w:t>
            </w:r>
            <w:r w:rsidR="008028DD" w:rsidRPr="007C4468">
              <w:rPr>
                <w:rFonts w:asciiTheme="majorHAnsi" w:hAnsiTheme="majorHAnsi"/>
                <w:b/>
                <w:i/>
                <w:color w:val="000000" w:themeColor="text1"/>
                <w:sz w:val="22"/>
                <w:szCs w:val="22"/>
                <w:lang w:val="bg-BG"/>
              </w:rPr>
              <w:t>о подкрепа за предоставяне на публични услуги</w:t>
            </w:r>
            <w:r w:rsidR="009109F0" w:rsidRPr="007C4468">
              <w:rPr>
                <w:rFonts w:asciiTheme="majorHAnsi" w:hAnsiTheme="majorHAnsi"/>
                <w:b/>
                <w:i/>
                <w:color w:val="000000" w:themeColor="text1"/>
                <w:sz w:val="22"/>
                <w:szCs w:val="22"/>
                <w:lang w:val="bg-BG"/>
              </w:rPr>
              <w:t xml:space="preserve"> (УОИИ)</w:t>
            </w:r>
            <w:r w:rsidR="008028DD" w:rsidRPr="007C4468">
              <w:rPr>
                <w:rStyle w:val="FootnoteReference"/>
                <w:rFonts w:asciiTheme="majorHAnsi" w:hAnsiTheme="majorHAnsi"/>
                <w:b/>
                <w:i/>
                <w:color w:val="000000" w:themeColor="text1"/>
                <w:sz w:val="22"/>
                <w:szCs w:val="22"/>
                <w:lang w:val="bg-BG"/>
              </w:rPr>
              <w:footnoteReference w:id="43"/>
            </w:r>
            <w:r w:rsidRPr="007C4468">
              <w:rPr>
                <w:rFonts w:asciiTheme="majorHAnsi" w:hAnsiTheme="majorHAnsi"/>
                <w:b/>
                <w:i/>
                <w:color w:val="000000" w:themeColor="text1"/>
                <w:sz w:val="22"/>
                <w:szCs w:val="22"/>
                <w:lang w:val="bg-BG"/>
              </w:rPr>
              <w:t xml:space="preserve"> </w:t>
            </w:r>
            <w:r w:rsidRPr="007C4468">
              <w:rPr>
                <w:rFonts w:asciiTheme="majorHAnsi" w:hAnsiTheme="majorHAnsi"/>
                <w:i/>
                <w:color w:val="000000" w:themeColor="text1"/>
                <w:lang w:val="bg-BG"/>
              </w:rPr>
              <w:t xml:space="preserve">Европейската комисия публикува докладите на държавите-членки относно </w:t>
            </w:r>
            <w:r w:rsidR="00282C0B" w:rsidRPr="007C4468">
              <w:rPr>
                <w:rFonts w:asciiTheme="majorHAnsi" w:hAnsiTheme="majorHAnsi"/>
                <w:i/>
                <w:color w:val="000000" w:themeColor="text1"/>
                <w:lang w:val="bg-BG"/>
              </w:rPr>
              <w:t xml:space="preserve">съвместимостта с </w:t>
            </w:r>
            <w:r w:rsidRPr="007C4468">
              <w:rPr>
                <w:rFonts w:asciiTheme="majorHAnsi" w:hAnsiTheme="majorHAnsi"/>
                <w:i/>
                <w:color w:val="000000" w:themeColor="text1"/>
                <w:lang w:val="bg-BG"/>
              </w:rPr>
              <w:t>правилата за държавн</w:t>
            </w:r>
            <w:r w:rsidR="00282C0B" w:rsidRPr="007C4468">
              <w:rPr>
                <w:rFonts w:asciiTheme="majorHAnsi" w:hAnsiTheme="majorHAnsi"/>
                <w:i/>
                <w:color w:val="000000" w:themeColor="text1"/>
                <w:lang w:val="bg-BG"/>
              </w:rPr>
              <w:t>и</w:t>
            </w:r>
            <w:r w:rsidR="009109F0" w:rsidRPr="007C4468">
              <w:rPr>
                <w:rFonts w:asciiTheme="majorHAnsi" w:hAnsiTheme="majorHAnsi"/>
                <w:i/>
                <w:color w:val="000000" w:themeColor="text1"/>
                <w:lang w:val="bg-BG"/>
              </w:rPr>
              <w:t xml:space="preserve"> </w:t>
            </w:r>
            <w:r w:rsidRPr="007C4468">
              <w:rPr>
                <w:rFonts w:asciiTheme="majorHAnsi" w:hAnsiTheme="majorHAnsi"/>
                <w:i/>
                <w:color w:val="000000" w:themeColor="text1"/>
                <w:lang w:val="bg-BG"/>
              </w:rPr>
              <w:t>помощ</w:t>
            </w:r>
            <w:r w:rsidR="00282C0B" w:rsidRPr="007C4468">
              <w:rPr>
                <w:rFonts w:asciiTheme="majorHAnsi" w:hAnsiTheme="majorHAnsi"/>
                <w:i/>
                <w:color w:val="000000" w:themeColor="text1"/>
                <w:lang w:val="bg-BG"/>
              </w:rPr>
              <w:t>и</w:t>
            </w:r>
            <w:r w:rsidRPr="007C4468">
              <w:rPr>
                <w:rFonts w:asciiTheme="majorHAnsi" w:hAnsiTheme="majorHAnsi"/>
                <w:i/>
                <w:color w:val="000000" w:themeColor="text1"/>
                <w:lang w:val="bg-BG"/>
              </w:rPr>
              <w:t xml:space="preserve"> за предоставянето на услуги от Общ икономически интерес </w:t>
            </w:r>
            <w:r w:rsidR="003C1C42" w:rsidRPr="007C4468">
              <w:rPr>
                <w:rFonts w:asciiTheme="majorHAnsi" w:hAnsiTheme="majorHAnsi"/>
                <w:i/>
                <w:color w:val="000000" w:themeColor="text1"/>
                <w:lang w:val="bg-BG"/>
              </w:rPr>
              <w:t xml:space="preserve">(УОИИ) </w:t>
            </w:r>
            <w:r w:rsidRPr="007C4468">
              <w:rPr>
                <w:rFonts w:asciiTheme="majorHAnsi" w:hAnsiTheme="majorHAnsi"/>
                <w:i/>
                <w:color w:val="000000" w:themeColor="text1"/>
                <w:lang w:val="bg-BG"/>
              </w:rPr>
              <w:t xml:space="preserve">в периода 2012-2014 г. Докладите дават възможност на гражданите да видят кои сектори са получили държавна помощ за компенсиране на разходите за извършване на обществени услуги, както и условията, </w:t>
            </w:r>
            <w:r w:rsidR="00282C0B" w:rsidRPr="007C4468">
              <w:rPr>
                <w:rFonts w:asciiTheme="majorHAnsi" w:hAnsiTheme="majorHAnsi"/>
                <w:i/>
                <w:color w:val="000000" w:themeColor="text1"/>
                <w:lang w:val="bg-BG"/>
              </w:rPr>
              <w:t xml:space="preserve">при </w:t>
            </w:r>
            <w:r w:rsidRPr="007C4468">
              <w:rPr>
                <w:rFonts w:asciiTheme="majorHAnsi" w:hAnsiTheme="majorHAnsi"/>
                <w:i/>
                <w:color w:val="000000" w:themeColor="text1"/>
                <w:lang w:val="bg-BG"/>
              </w:rPr>
              <w:t>които са били получени, според държавите-членки.</w:t>
            </w:r>
          </w:p>
          <w:p w:rsidR="00252AF1" w:rsidRPr="007C4468" w:rsidRDefault="00252AF1" w:rsidP="00E34E8E">
            <w:pPr>
              <w:jc w:val="both"/>
              <w:rPr>
                <w:rFonts w:asciiTheme="majorHAnsi" w:hAnsiTheme="majorHAnsi"/>
                <w:i/>
                <w:color w:val="000000" w:themeColor="text1"/>
                <w:lang w:val="bg-BG"/>
              </w:rPr>
            </w:pPr>
            <w:r w:rsidRPr="007C4468">
              <w:rPr>
                <w:rFonts w:asciiTheme="majorHAnsi" w:hAnsiTheme="majorHAnsi"/>
                <w:i/>
                <w:color w:val="000000" w:themeColor="text1"/>
                <w:lang w:val="bg-BG"/>
              </w:rPr>
              <w:t xml:space="preserve">Европейските правила по държавните помощи за предоставяне на компенсации за УОИИ, приети през 2011 г., позволяват да бъде предоставяна компенсация на компании чрез ДП за допълнителните разходи, възникнали вследствие на предоставянето на </w:t>
            </w:r>
            <w:r w:rsidRPr="007C4468">
              <w:rPr>
                <w:rFonts w:asciiTheme="majorHAnsi" w:hAnsiTheme="majorHAnsi"/>
                <w:i/>
                <w:color w:val="000000" w:themeColor="text1"/>
                <w:lang w:val="bg-BG"/>
              </w:rPr>
              <w:lastRenderedPageBreak/>
              <w:t xml:space="preserve">УОИИ, при определени условия.  В частност, правилата предоставят възможност за ДП за предоставяните от тези компании услуги, като в същото време се гарантира, че компаниите, на които тези услуги са възложени, не получават свръх-компенсация. Това осигурява ефективно използване на публичните средства, като нарушаването на конкуренцията се минимизира. Публикуването на докладите е част от усилията на ЕК да приложат на практика модернизацията на режима по ДП и да </w:t>
            </w:r>
            <w:r w:rsidR="002C0757" w:rsidRPr="007C4468">
              <w:rPr>
                <w:rFonts w:asciiTheme="majorHAnsi" w:hAnsiTheme="majorHAnsi"/>
                <w:i/>
                <w:color w:val="000000" w:themeColor="text1"/>
                <w:lang w:val="bg-BG"/>
              </w:rPr>
              <w:t xml:space="preserve">осигурят </w:t>
            </w:r>
            <w:r w:rsidRPr="007C4468">
              <w:rPr>
                <w:rFonts w:asciiTheme="majorHAnsi" w:hAnsiTheme="majorHAnsi"/>
                <w:i/>
                <w:color w:val="000000" w:themeColor="text1"/>
                <w:lang w:val="bg-BG"/>
              </w:rPr>
              <w:t>по-</w:t>
            </w:r>
            <w:r w:rsidR="002C0757" w:rsidRPr="007C4468">
              <w:rPr>
                <w:rFonts w:asciiTheme="majorHAnsi" w:hAnsiTheme="majorHAnsi"/>
                <w:i/>
                <w:color w:val="000000" w:themeColor="text1"/>
                <w:lang w:val="bg-BG"/>
              </w:rPr>
              <w:t xml:space="preserve">голяма </w:t>
            </w:r>
            <w:r w:rsidRPr="007C4468">
              <w:rPr>
                <w:rFonts w:asciiTheme="majorHAnsi" w:hAnsiTheme="majorHAnsi"/>
                <w:i/>
                <w:color w:val="000000" w:themeColor="text1"/>
                <w:lang w:val="bg-BG"/>
              </w:rPr>
              <w:t>прозрачн</w:t>
            </w:r>
            <w:r w:rsidR="002C0757" w:rsidRPr="007C4468">
              <w:rPr>
                <w:rFonts w:asciiTheme="majorHAnsi" w:hAnsiTheme="majorHAnsi"/>
                <w:i/>
                <w:color w:val="000000" w:themeColor="text1"/>
                <w:lang w:val="bg-BG"/>
              </w:rPr>
              <w:t xml:space="preserve">ост на това къде се разходват публичните средства. </w:t>
            </w:r>
            <w:r w:rsidRPr="007C4468">
              <w:rPr>
                <w:rFonts w:asciiTheme="majorHAnsi" w:hAnsiTheme="majorHAnsi"/>
                <w:i/>
                <w:color w:val="000000" w:themeColor="text1"/>
                <w:lang w:val="bg-BG"/>
              </w:rPr>
              <w:t xml:space="preserve"> </w:t>
            </w:r>
          </w:p>
          <w:p w:rsidR="002C0757" w:rsidRPr="007C4468" w:rsidRDefault="002C0757" w:rsidP="002C0757">
            <w:pPr>
              <w:autoSpaceDE w:val="0"/>
              <w:autoSpaceDN w:val="0"/>
              <w:adjustRightInd w:val="0"/>
              <w:rPr>
                <w:rFonts w:ascii="Verdana" w:eastAsiaTheme="minorHAnsi" w:hAnsi="Verdana" w:cs="Verdana"/>
                <w:color w:val="000000"/>
                <w:sz w:val="24"/>
                <w:szCs w:val="24"/>
                <w:lang w:val="bg-BG" w:eastAsia="en-US"/>
              </w:rPr>
            </w:pPr>
          </w:p>
          <w:p w:rsidR="00E5067D" w:rsidRPr="007C4468" w:rsidRDefault="002F4B48" w:rsidP="002C0757">
            <w:pPr>
              <w:jc w:val="both"/>
              <w:rPr>
                <w:rFonts w:asciiTheme="majorHAnsi" w:hAnsiTheme="majorHAnsi"/>
                <w:b/>
                <w:i/>
                <w:color w:val="000000" w:themeColor="text1"/>
                <w:sz w:val="22"/>
                <w:szCs w:val="22"/>
                <w:lang w:val="bg-BG"/>
              </w:rPr>
            </w:pPr>
            <w:r w:rsidRPr="007C4468">
              <w:rPr>
                <w:rFonts w:asciiTheme="majorHAnsi" w:hAnsiTheme="majorHAnsi"/>
                <w:b/>
                <w:i/>
                <w:color w:val="000000" w:themeColor="text1"/>
                <w:sz w:val="22"/>
                <w:szCs w:val="22"/>
                <w:lang w:val="bg-BG"/>
              </w:rPr>
              <w:t>Решение на С</w:t>
            </w:r>
            <w:r w:rsidR="00E24F44" w:rsidRPr="007C4468">
              <w:rPr>
                <w:rFonts w:asciiTheme="majorHAnsi" w:hAnsiTheme="majorHAnsi"/>
                <w:b/>
                <w:i/>
                <w:color w:val="000000" w:themeColor="text1"/>
                <w:sz w:val="22"/>
                <w:szCs w:val="22"/>
                <w:lang w:val="bg-BG"/>
              </w:rPr>
              <w:t>ъда по дело C-367/14 –Комисията срещу Италия;</w:t>
            </w:r>
            <w:r w:rsidRPr="007C4468">
              <w:rPr>
                <w:rFonts w:asciiTheme="majorHAnsi" w:hAnsiTheme="majorHAnsi"/>
                <w:b/>
                <w:i/>
                <w:color w:val="000000" w:themeColor="text1"/>
                <w:sz w:val="22"/>
                <w:szCs w:val="22"/>
                <w:lang w:val="bg-BG"/>
              </w:rPr>
              <w:t xml:space="preserve"> </w:t>
            </w:r>
          </w:p>
          <w:p w:rsidR="002C0757" w:rsidRPr="007C4468" w:rsidRDefault="00E24F44" w:rsidP="002C0757">
            <w:pPr>
              <w:jc w:val="both"/>
              <w:rPr>
                <w:rFonts w:asciiTheme="majorHAnsi" w:hAnsiTheme="majorHAnsi"/>
                <w:i/>
                <w:color w:val="000000" w:themeColor="text1"/>
                <w:lang w:val="bg-BG"/>
              </w:rPr>
            </w:pPr>
            <w:r w:rsidRPr="007C4468">
              <w:rPr>
                <w:rFonts w:asciiTheme="majorHAnsi" w:hAnsiTheme="majorHAnsi"/>
                <w:i/>
                <w:color w:val="000000" w:themeColor="text1"/>
                <w:lang w:val="bg-BG"/>
              </w:rPr>
              <w:t xml:space="preserve">Поради забавяне </w:t>
            </w:r>
            <w:r w:rsidR="00E5067D" w:rsidRPr="007C4468">
              <w:rPr>
                <w:rFonts w:asciiTheme="majorHAnsi" w:hAnsiTheme="majorHAnsi"/>
                <w:i/>
                <w:color w:val="000000" w:themeColor="text1"/>
                <w:lang w:val="bg-BG"/>
              </w:rPr>
              <w:t>да</w:t>
            </w:r>
            <w:r w:rsidRPr="007C4468">
              <w:rPr>
                <w:rFonts w:asciiTheme="majorHAnsi" w:hAnsiTheme="majorHAnsi"/>
                <w:i/>
                <w:color w:val="000000" w:themeColor="text1"/>
                <w:lang w:val="bg-BG"/>
              </w:rPr>
              <w:t xml:space="preserve"> възстанов</w:t>
            </w:r>
            <w:r w:rsidR="00E5067D" w:rsidRPr="007C4468">
              <w:rPr>
                <w:rFonts w:asciiTheme="majorHAnsi" w:hAnsiTheme="majorHAnsi"/>
                <w:i/>
                <w:color w:val="000000" w:themeColor="text1"/>
                <w:lang w:val="bg-BG"/>
              </w:rPr>
              <w:t>и</w:t>
            </w:r>
            <w:r w:rsidRPr="007C4468">
              <w:rPr>
                <w:rFonts w:asciiTheme="majorHAnsi" w:hAnsiTheme="majorHAnsi"/>
                <w:i/>
                <w:color w:val="000000" w:themeColor="text1"/>
                <w:lang w:val="bg-BG"/>
              </w:rPr>
              <w:t xml:space="preserve"> несъвместима с общия пазар</w:t>
            </w:r>
            <w:r w:rsidR="00E5067D" w:rsidRPr="007C4468">
              <w:rPr>
                <w:rFonts w:asciiTheme="majorHAnsi" w:hAnsiTheme="majorHAnsi"/>
                <w:i/>
                <w:color w:val="000000" w:themeColor="text1"/>
                <w:lang w:val="bg-BG"/>
              </w:rPr>
              <w:t xml:space="preserve"> помощ,</w:t>
            </w:r>
            <w:r w:rsidRPr="007C4468">
              <w:rPr>
                <w:rFonts w:asciiTheme="majorHAnsi" w:hAnsiTheme="majorHAnsi"/>
                <w:i/>
                <w:color w:val="000000" w:themeColor="text1"/>
                <w:lang w:val="bg-BG"/>
              </w:rPr>
              <w:t xml:space="preserve">, Италия е </w:t>
            </w:r>
            <w:r w:rsidR="004F379F" w:rsidRPr="007C4468">
              <w:rPr>
                <w:rFonts w:asciiTheme="majorHAnsi" w:hAnsiTheme="majorHAnsi"/>
                <w:i/>
                <w:color w:val="000000" w:themeColor="text1"/>
                <w:lang w:val="bg-BG"/>
              </w:rPr>
              <w:t>задължена</w:t>
            </w:r>
            <w:r w:rsidRPr="007C4468">
              <w:rPr>
                <w:rFonts w:asciiTheme="majorHAnsi" w:hAnsiTheme="majorHAnsi"/>
                <w:i/>
                <w:color w:val="000000" w:themeColor="text1"/>
                <w:lang w:val="bg-BG"/>
              </w:rPr>
              <w:t xml:space="preserve"> да запла</w:t>
            </w:r>
            <w:r w:rsidR="001A7493" w:rsidRPr="007C4468">
              <w:rPr>
                <w:rFonts w:asciiTheme="majorHAnsi" w:hAnsiTheme="majorHAnsi"/>
                <w:i/>
                <w:color w:val="000000" w:themeColor="text1"/>
                <w:lang w:val="bg-BG"/>
              </w:rPr>
              <w:t>ща</w:t>
            </w:r>
            <w:r w:rsidRPr="007C4468">
              <w:rPr>
                <w:rFonts w:asciiTheme="majorHAnsi" w:hAnsiTheme="majorHAnsi"/>
                <w:i/>
                <w:color w:val="000000" w:themeColor="text1"/>
                <w:lang w:val="bg-BG"/>
              </w:rPr>
              <w:t xml:space="preserve"> фиксирана сума от 30</w:t>
            </w:r>
            <w:r w:rsidR="00483712" w:rsidRPr="007C4468">
              <w:rPr>
                <w:rFonts w:asciiTheme="majorHAnsi" w:hAnsiTheme="majorHAnsi"/>
                <w:i/>
                <w:color w:val="000000" w:themeColor="text1"/>
                <w:lang w:val="bg-BG"/>
              </w:rPr>
              <w:t xml:space="preserve"> </w:t>
            </w:r>
            <w:r w:rsidRPr="007C4468">
              <w:rPr>
                <w:rFonts w:asciiTheme="majorHAnsi" w:hAnsiTheme="majorHAnsi"/>
                <w:i/>
                <w:color w:val="000000" w:themeColor="text1"/>
                <w:lang w:val="bg-BG"/>
              </w:rPr>
              <w:t>млн.</w:t>
            </w:r>
            <w:r w:rsidR="001A7493" w:rsidRPr="007C4468">
              <w:rPr>
                <w:rFonts w:asciiTheme="majorHAnsi" w:hAnsiTheme="majorHAnsi"/>
                <w:i/>
                <w:color w:val="000000" w:themeColor="text1"/>
                <w:lang w:val="bg-BG"/>
              </w:rPr>
              <w:t xml:space="preserve"> </w:t>
            </w:r>
            <w:r w:rsidRPr="007C4468">
              <w:rPr>
                <w:rFonts w:asciiTheme="majorHAnsi" w:hAnsiTheme="majorHAnsi"/>
                <w:i/>
                <w:color w:val="000000" w:themeColor="text1"/>
                <w:lang w:val="bg-BG"/>
              </w:rPr>
              <w:t>евро, както и глоба в размер на 12</w:t>
            </w:r>
            <w:r w:rsidR="00483712" w:rsidRPr="007C4468">
              <w:rPr>
                <w:rFonts w:asciiTheme="majorHAnsi" w:hAnsiTheme="majorHAnsi"/>
                <w:i/>
                <w:color w:val="000000" w:themeColor="text1"/>
                <w:lang w:val="bg-BG"/>
              </w:rPr>
              <w:t xml:space="preserve"> </w:t>
            </w:r>
            <w:r w:rsidRPr="007C4468">
              <w:rPr>
                <w:rFonts w:asciiTheme="majorHAnsi" w:hAnsiTheme="majorHAnsi"/>
                <w:i/>
                <w:color w:val="000000" w:themeColor="text1"/>
                <w:lang w:val="bg-BG"/>
              </w:rPr>
              <w:t>млн.</w:t>
            </w:r>
            <w:r w:rsidR="001A7493" w:rsidRPr="007C4468">
              <w:rPr>
                <w:rFonts w:asciiTheme="majorHAnsi" w:hAnsiTheme="majorHAnsi"/>
                <w:i/>
                <w:color w:val="000000" w:themeColor="text1"/>
                <w:lang w:val="bg-BG"/>
              </w:rPr>
              <w:t xml:space="preserve"> </w:t>
            </w:r>
            <w:r w:rsidRPr="007C4468">
              <w:rPr>
                <w:rFonts w:asciiTheme="majorHAnsi" w:hAnsiTheme="majorHAnsi"/>
                <w:i/>
                <w:color w:val="000000" w:themeColor="text1"/>
                <w:lang w:val="bg-BG"/>
              </w:rPr>
              <w:t>евро на семестър за закъснение.</w:t>
            </w:r>
          </w:p>
          <w:p w:rsidR="002F4B48" w:rsidRPr="007C4468" w:rsidRDefault="002F4B48" w:rsidP="002C0757">
            <w:pPr>
              <w:jc w:val="both"/>
              <w:rPr>
                <w:rFonts w:asciiTheme="majorHAnsi" w:hAnsiTheme="majorHAnsi"/>
                <w:i/>
                <w:color w:val="000000" w:themeColor="text1"/>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E5067D" w:rsidRPr="007C4468" w:rsidRDefault="00E5067D" w:rsidP="002C0757">
            <w:pPr>
              <w:jc w:val="both"/>
              <w:rPr>
                <w:rFonts w:asciiTheme="majorHAnsi" w:hAnsiTheme="majorHAnsi"/>
                <w:b/>
                <w:i/>
                <w:color w:val="000000" w:themeColor="text1"/>
                <w:sz w:val="22"/>
                <w:szCs w:val="22"/>
                <w:lang w:val="bg-BG"/>
              </w:rPr>
            </w:pPr>
          </w:p>
          <w:p w:rsidR="00E5067D" w:rsidRPr="007C4468" w:rsidRDefault="00E5067D" w:rsidP="002C0757">
            <w:pPr>
              <w:jc w:val="both"/>
              <w:rPr>
                <w:rFonts w:asciiTheme="majorHAnsi" w:hAnsiTheme="majorHAnsi"/>
                <w:b/>
                <w:i/>
                <w:color w:val="000000" w:themeColor="text1"/>
                <w:sz w:val="22"/>
                <w:szCs w:val="22"/>
                <w:lang w:val="bg-BG"/>
              </w:rPr>
            </w:pPr>
          </w:p>
          <w:p w:rsidR="00E5067D" w:rsidRPr="007C4468" w:rsidRDefault="00E5067D" w:rsidP="002C0757">
            <w:pPr>
              <w:jc w:val="both"/>
              <w:rPr>
                <w:rFonts w:asciiTheme="majorHAnsi" w:hAnsiTheme="majorHAnsi"/>
                <w:b/>
                <w:i/>
                <w:color w:val="000000" w:themeColor="text1"/>
                <w:sz w:val="22"/>
                <w:szCs w:val="22"/>
                <w:lang w:val="bg-BG"/>
              </w:rPr>
            </w:pPr>
          </w:p>
          <w:p w:rsidR="00E5067D" w:rsidRPr="007C4468" w:rsidRDefault="00E5067D" w:rsidP="002C0757">
            <w:pPr>
              <w:jc w:val="both"/>
              <w:rPr>
                <w:rFonts w:asciiTheme="majorHAnsi" w:hAnsiTheme="majorHAnsi"/>
                <w:b/>
                <w:i/>
                <w:color w:val="000000" w:themeColor="text1"/>
                <w:sz w:val="22"/>
                <w:szCs w:val="22"/>
                <w:lang w:val="bg-BG"/>
              </w:rPr>
            </w:pPr>
          </w:p>
          <w:p w:rsidR="00E5067D" w:rsidRPr="007C4468" w:rsidRDefault="00E5067D" w:rsidP="002C0757">
            <w:pPr>
              <w:jc w:val="both"/>
              <w:rPr>
                <w:rFonts w:asciiTheme="majorHAnsi" w:hAnsiTheme="majorHAnsi"/>
                <w:b/>
                <w:i/>
                <w:color w:val="000000" w:themeColor="text1"/>
                <w:sz w:val="22"/>
                <w:szCs w:val="22"/>
                <w:lang w:val="bg-BG"/>
              </w:rPr>
            </w:pPr>
          </w:p>
          <w:p w:rsidR="00E5067D" w:rsidRPr="007C4468" w:rsidRDefault="00E5067D" w:rsidP="002C0757">
            <w:pPr>
              <w:jc w:val="both"/>
              <w:rPr>
                <w:rFonts w:asciiTheme="majorHAnsi" w:hAnsiTheme="majorHAnsi"/>
                <w:b/>
                <w:i/>
                <w:color w:val="000000" w:themeColor="text1"/>
                <w:sz w:val="22"/>
                <w:szCs w:val="22"/>
                <w:lang w:val="bg-BG"/>
              </w:rPr>
            </w:pPr>
          </w:p>
          <w:p w:rsidR="00E5067D" w:rsidRPr="007C4468" w:rsidRDefault="00E5067D" w:rsidP="002C0757">
            <w:pPr>
              <w:jc w:val="both"/>
              <w:rPr>
                <w:rFonts w:asciiTheme="majorHAnsi" w:hAnsiTheme="majorHAnsi"/>
                <w:b/>
                <w:i/>
                <w:color w:val="000000" w:themeColor="text1"/>
                <w:sz w:val="22"/>
                <w:szCs w:val="22"/>
                <w:lang w:val="bg-BG"/>
              </w:rPr>
            </w:pPr>
          </w:p>
          <w:p w:rsidR="00E5067D" w:rsidRPr="007C4468" w:rsidRDefault="00E5067D" w:rsidP="002C0757">
            <w:pPr>
              <w:jc w:val="both"/>
              <w:rPr>
                <w:rFonts w:asciiTheme="majorHAnsi" w:hAnsiTheme="majorHAnsi"/>
                <w:b/>
                <w:i/>
                <w:color w:val="000000" w:themeColor="text1"/>
                <w:sz w:val="22"/>
                <w:szCs w:val="22"/>
                <w:lang w:val="bg-BG"/>
              </w:rPr>
            </w:pPr>
          </w:p>
          <w:p w:rsidR="00E5067D" w:rsidRPr="007C4468" w:rsidRDefault="00E5067D" w:rsidP="002C0757">
            <w:pPr>
              <w:jc w:val="both"/>
              <w:rPr>
                <w:rFonts w:asciiTheme="majorHAnsi" w:hAnsiTheme="majorHAnsi"/>
                <w:b/>
                <w:i/>
                <w:color w:val="000000" w:themeColor="text1"/>
                <w:sz w:val="22"/>
                <w:szCs w:val="22"/>
                <w:lang w:val="bg-BG"/>
              </w:rPr>
            </w:pPr>
          </w:p>
          <w:p w:rsidR="002F4B48" w:rsidRPr="007C4468" w:rsidRDefault="002F4B48" w:rsidP="002F4B48">
            <w:pPr>
              <w:jc w:val="both"/>
              <w:rPr>
                <w:rFonts w:asciiTheme="majorHAnsi" w:hAnsiTheme="majorHAnsi"/>
                <w:b/>
                <w:i/>
                <w:sz w:val="22"/>
                <w:szCs w:val="22"/>
                <w:lang w:val="bg-BG"/>
              </w:rPr>
            </w:pPr>
          </w:p>
          <w:p w:rsidR="002F4B48" w:rsidRPr="007C4468" w:rsidRDefault="002F4B48" w:rsidP="002F4B48">
            <w:pPr>
              <w:jc w:val="both"/>
              <w:rPr>
                <w:rFonts w:asciiTheme="majorHAnsi" w:hAnsiTheme="majorHAnsi"/>
                <w:sz w:val="22"/>
                <w:szCs w:val="22"/>
                <w:lang w:val="bg-BG"/>
              </w:rPr>
            </w:pPr>
            <w:r w:rsidRPr="007C4468">
              <w:rPr>
                <w:rFonts w:asciiTheme="majorHAnsi" w:hAnsiTheme="majorHAnsi"/>
                <w:b/>
                <w:i/>
                <w:sz w:val="22"/>
                <w:szCs w:val="22"/>
                <w:lang w:val="bg-BG"/>
              </w:rPr>
              <w:t>На 25.09.2015 г. бе публикуван за обществено обсъждане проект на Закона за държавните помощи</w:t>
            </w:r>
            <w:r w:rsidRPr="007C4468">
              <w:rPr>
                <w:rStyle w:val="FootnoteReference"/>
                <w:rFonts w:asciiTheme="majorHAnsi" w:hAnsiTheme="majorHAnsi"/>
                <w:sz w:val="22"/>
                <w:szCs w:val="22"/>
                <w:lang w:val="bg-BG"/>
              </w:rPr>
              <w:footnoteReference w:id="44"/>
            </w:r>
            <w:r w:rsidRPr="007C4468">
              <w:rPr>
                <w:rFonts w:asciiTheme="majorHAnsi" w:hAnsiTheme="majorHAnsi"/>
                <w:sz w:val="22"/>
                <w:szCs w:val="22"/>
                <w:lang w:val="bg-BG"/>
              </w:rPr>
              <w:t xml:space="preserve">. </w:t>
            </w:r>
          </w:p>
          <w:p w:rsidR="002F4B48" w:rsidRPr="007C4468" w:rsidRDefault="002F4B48" w:rsidP="002F4B48">
            <w:pPr>
              <w:jc w:val="both"/>
              <w:rPr>
                <w:rFonts w:asciiTheme="majorHAnsi" w:hAnsiTheme="majorHAnsi"/>
                <w:i/>
                <w:lang w:val="bg-BG"/>
              </w:rPr>
            </w:pPr>
            <w:r w:rsidRPr="007C4468">
              <w:rPr>
                <w:rFonts w:asciiTheme="majorHAnsi" w:hAnsiTheme="majorHAnsi"/>
                <w:i/>
                <w:lang w:val="bg-BG"/>
              </w:rPr>
              <w:t xml:space="preserve">Текущите промени на проекта, спрямо тези от 2013 г., основно касаят включването на глава „Производство пред съд“, както и преподредба на текстовете в ЗДП. </w:t>
            </w:r>
          </w:p>
          <w:p w:rsidR="002F4B48" w:rsidRPr="007C4468" w:rsidRDefault="002F4B48" w:rsidP="002F4B48">
            <w:pPr>
              <w:jc w:val="both"/>
              <w:rPr>
                <w:rFonts w:asciiTheme="majorHAnsi" w:hAnsiTheme="majorHAnsi"/>
                <w:b/>
                <w:i/>
                <w:lang w:val="bg-BG"/>
              </w:rPr>
            </w:pPr>
            <w:r w:rsidRPr="007C4468">
              <w:rPr>
                <w:rFonts w:asciiTheme="majorHAnsi" w:hAnsiTheme="majorHAnsi"/>
                <w:b/>
                <w:i/>
                <w:lang w:val="bg-BG"/>
              </w:rPr>
              <w:t xml:space="preserve">Срокът за предоставяне на бележки по проекта е 08.10.2015 г. </w:t>
            </w: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rFonts w:asciiTheme="majorHAnsi" w:hAnsiTheme="majorHAnsi"/>
                <w:b/>
                <w:i/>
                <w:color w:val="000000" w:themeColor="text1"/>
                <w:sz w:val="22"/>
                <w:szCs w:val="22"/>
                <w:lang w:val="bg-BG"/>
              </w:rPr>
            </w:pPr>
          </w:p>
          <w:p w:rsidR="002F4B48" w:rsidRPr="007C4468" w:rsidRDefault="002F4B48" w:rsidP="002C0757">
            <w:pPr>
              <w:jc w:val="both"/>
              <w:rPr>
                <w:lang w:val="bg-BG"/>
              </w:rPr>
            </w:pPr>
          </w:p>
        </w:tc>
      </w:tr>
    </w:tbl>
    <w:p w:rsidR="00347BCE" w:rsidRPr="00DB79A1" w:rsidRDefault="00347BCE" w:rsidP="000A7D4C">
      <w:pPr>
        <w:rPr>
          <w:lang w:val="bg-BG"/>
        </w:rPr>
      </w:pPr>
    </w:p>
    <w:sectPr w:rsidR="00347BCE" w:rsidRPr="00DB79A1" w:rsidSect="00ED5BA6">
      <w:footerReference w:type="default" r:id="rId9"/>
      <w:pgSz w:w="11906" w:h="16838"/>
      <w:pgMar w:top="567" w:right="424" w:bottom="567" w:left="56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1D" w:rsidRDefault="0003511D" w:rsidP="00772F29">
      <w:r>
        <w:separator/>
      </w:r>
    </w:p>
  </w:endnote>
  <w:endnote w:type="continuationSeparator" w:id="0">
    <w:p w:rsidR="0003511D" w:rsidRDefault="0003511D" w:rsidP="007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8789"/>
      <w:docPartObj>
        <w:docPartGallery w:val="Page Numbers (Bottom of Page)"/>
        <w:docPartUnique/>
      </w:docPartObj>
    </w:sdtPr>
    <w:sdtEndPr>
      <w:rPr>
        <w:rFonts w:asciiTheme="majorHAnsi" w:hAnsiTheme="majorHAnsi"/>
        <w:b/>
        <w:noProof/>
        <w:sz w:val="16"/>
        <w:szCs w:val="16"/>
      </w:rPr>
    </w:sdtEndPr>
    <w:sdtContent>
      <w:p w:rsidR="00E5067D" w:rsidRPr="00772F29" w:rsidRDefault="00E5067D" w:rsidP="00772F29">
        <w:pPr>
          <w:pStyle w:val="Footer"/>
          <w:ind w:left="6084" w:firstLine="4536"/>
          <w:jc w:val="center"/>
          <w:rPr>
            <w:rFonts w:asciiTheme="majorHAnsi" w:hAnsiTheme="majorHAnsi"/>
            <w:b/>
            <w:sz w:val="16"/>
            <w:szCs w:val="16"/>
          </w:rPr>
        </w:pPr>
        <w:r w:rsidRPr="00772F29">
          <w:rPr>
            <w:rFonts w:asciiTheme="majorHAnsi" w:hAnsiTheme="majorHAnsi"/>
            <w:b/>
            <w:sz w:val="16"/>
            <w:szCs w:val="16"/>
          </w:rPr>
          <w:fldChar w:fldCharType="begin"/>
        </w:r>
        <w:r w:rsidRPr="00772F29">
          <w:rPr>
            <w:rFonts w:asciiTheme="majorHAnsi" w:hAnsiTheme="majorHAnsi"/>
            <w:b/>
            <w:sz w:val="16"/>
            <w:szCs w:val="16"/>
          </w:rPr>
          <w:instrText xml:space="preserve"> PAGE   \* MERGEFORMAT </w:instrText>
        </w:r>
        <w:r w:rsidRPr="00772F29">
          <w:rPr>
            <w:rFonts w:asciiTheme="majorHAnsi" w:hAnsiTheme="majorHAnsi"/>
            <w:b/>
            <w:sz w:val="16"/>
            <w:szCs w:val="16"/>
          </w:rPr>
          <w:fldChar w:fldCharType="separate"/>
        </w:r>
        <w:r w:rsidR="003F44A5">
          <w:rPr>
            <w:rFonts w:asciiTheme="majorHAnsi" w:hAnsiTheme="majorHAnsi"/>
            <w:b/>
            <w:noProof/>
            <w:sz w:val="16"/>
            <w:szCs w:val="16"/>
          </w:rPr>
          <w:t>1</w:t>
        </w:r>
        <w:r w:rsidRPr="00772F29">
          <w:rPr>
            <w:rFonts w:asciiTheme="majorHAnsi" w:hAnsiTheme="majorHAnsi"/>
            <w:b/>
            <w:noProof/>
            <w:sz w:val="16"/>
            <w:szCs w:val="16"/>
          </w:rPr>
          <w:fldChar w:fldCharType="end"/>
        </w:r>
      </w:p>
    </w:sdtContent>
  </w:sdt>
  <w:p w:rsidR="00E5067D" w:rsidRPr="00A25E74" w:rsidRDefault="00E5067D" w:rsidP="00A25E74">
    <w:pPr>
      <w:pStyle w:val="Default"/>
      <w:jc w:val="center"/>
      <w:rPr>
        <w:rFonts w:ascii="Cambria" w:hAnsi="Cambria" w:cs="Cambria"/>
        <w:b/>
        <w:color w:val="auto"/>
        <w:sz w:val="16"/>
        <w:szCs w:val="16"/>
      </w:rPr>
    </w:pPr>
    <w:r w:rsidRPr="00A25E74">
      <w:rPr>
        <w:rFonts w:ascii="Cambria" w:hAnsi="Cambria" w:cs="Cambria"/>
        <w:b/>
        <w:color w:val="auto"/>
        <w:sz w:val="16"/>
        <w:szCs w:val="16"/>
      </w:rPr>
      <w:t xml:space="preserve">Информационен електронен бюлетин </w:t>
    </w:r>
    <w:r>
      <w:rPr>
        <w:rFonts w:ascii="Cambria" w:hAnsi="Cambria" w:cs="Cambria"/>
        <w:b/>
        <w:color w:val="auto"/>
        <w:sz w:val="16"/>
        <w:szCs w:val="16"/>
      </w:rPr>
      <w:t xml:space="preserve">за държавните помощи </w:t>
    </w:r>
    <w:r w:rsidR="00C160F6">
      <w:rPr>
        <w:rFonts w:ascii="Cambria" w:hAnsi="Cambria" w:cs="Cambria"/>
        <w:b/>
        <w:color w:val="auto"/>
        <w:sz w:val="16"/>
        <w:szCs w:val="16"/>
      </w:rPr>
      <w:t>№ 03</w:t>
    </w:r>
    <w:r w:rsidRPr="00A25E74">
      <w:rPr>
        <w:rFonts w:ascii="Cambria" w:hAnsi="Cambria" w:cs="Cambria"/>
        <w:b/>
        <w:color w:val="auto"/>
        <w:sz w:val="16"/>
        <w:szCs w:val="16"/>
      </w:rPr>
      <w:t>/</w:t>
    </w:r>
    <w:r>
      <w:rPr>
        <w:rFonts w:ascii="Cambria" w:hAnsi="Cambria" w:cs="Cambria"/>
        <w:b/>
        <w:color w:val="auto"/>
        <w:sz w:val="16"/>
        <w:szCs w:val="16"/>
        <w:lang w:val="en-US"/>
      </w:rPr>
      <w:t>20</w:t>
    </w:r>
    <w:r w:rsidRPr="00A25E74">
      <w:rPr>
        <w:rFonts w:ascii="Cambria" w:hAnsi="Cambria" w:cs="Cambria"/>
        <w:b/>
        <w:color w:val="auto"/>
        <w:sz w:val="16"/>
        <w:szCs w:val="16"/>
      </w:rPr>
      <w:t>15</w:t>
    </w:r>
  </w:p>
  <w:p w:rsidR="00E5067D" w:rsidRPr="00772F29" w:rsidRDefault="00E5067D">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1D" w:rsidRDefault="0003511D" w:rsidP="00772F29">
      <w:r>
        <w:separator/>
      </w:r>
    </w:p>
  </w:footnote>
  <w:footnote w:type="continuationSeparator" w:id="0">
    <w:p w:rsidR="0003511D" w:rsidRDefault="0003511D" w:rsidP="00772F29">
      <w:r>
        <w:continuationSeparator/>
      </w:r>
    </w:p>
  </w:footnote>
  <w:footnote w:id="1">
    <w:p w:rsidR="00E5067D" w:rsidRPr="00995618" w:rsidRDefault="00E5067D" w:rsidP="00995618">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Style w:val="FootnoteReference"/>
        </w:rPr>
        <w:footnoteRef/>
      </w:r>
      <w:r>
        <w:t xml:space="preserve"> </w:t>
      </w:r>
      <w:r w:rsidRP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този бюлетин се съдържа и информация, която е събрана въз основа на общодостъпни публикации в Интернет и обхваща държавните помощи без тези в земеделието, горското и рибното стопанство. </w:t>
      </w:r>
    </w:p>
  </w:footnote>
  <w:footnote w:id="2">
    <w:p w:rsidR="00E5067D" w:rsidRPr="00B33E8C" w:rsidRDefault="00E5067D" w:rsidP="00B33E8C">
      <w:pPr>
        <w:pStyle w:val="FootnoteText"/>
        <w:rPr>
          <w:lang w:val="bg-BG"/>
        </w:rPr>
      </w:pPr>
      <w:r>
        <w:rPr>
          <w:rStyle w:val="FootnoteReference"/>
        </w:rPr>
        <w:footnoteRef/>
      </w:r>
      <w:r>
        <w:t xml:space="preserve"> </w:t>
      </w:r>
      <w:r w:rsidRPr="00B33E8C">
        <w:rPr>
          <w:rStyle w:val="Hyperlink"/>
          <w:sz w:val="16"/>
          <w:szCs w:val="16"/>
        </w:rPr>
        <w:t>http://stateaid.minfin.bg/bg/pubs/0/59</w:t>
      </w:r>
    </w:p>
  </w:footnote>
  <w:footnote w:id="3">
    <w:p w:rsidR="00E5067D" w:rsidRPr="00B33E8C" w:rsidRDefault="00E5067D">
      <w:pPr>
        <w:pStyle w:val="FootnoteText"/>
        <w:rPr>
          <w:lang w:val="bg-BG"/>
        </w:rPr>
      </w:pPr>
      <w:r>
        <w:rPr>
          <w:rStyle w:val="FootnoteReference"/>
        </w:rPr>
        <w:footnoteRef/>
      </w:r>
      <w:r>
        <w:t xml:space="preserve"> </w:t>
      </w:r>
      <w:r w:rsidRPr="00B33E8C">
        <w:rPr>
          <w:rStyle w:val="Hyperlink"/>
          <w:sz w:val="16"/>
          <w:szCs w:val="16"/>
        </w:rPr>
        <w:t>http://stateaid.minfin.bg/bg/pubs/0/58</w:t>
      </w:r>
    </w:p>
  </w:footnote>
  <w:footnote w:id="4">
    <w:p w:rsidR="00E5067D" w:rsidRPr="00596465" w:rsidRDefault="00E5067D">
      <w:pPr>
        <w:pStyle w:val="FootnoteText"/>
        <w:rPr>
          <w:lang w:val="en-US"/>
        </w:rPr>
      </w:pPr>
      <w:r>
        <w:rPr>
          <w:rStyle w:val="FootnoteReference"/>
        </w:rPr>
        <w:footnoteRef/>
      </w:r>
      <w:r>
        <w:t xml:space="preserve"> </w:t>
      </w:r>
      <w:r w:rsidRPr="00596465">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http://ec.europa.eu/competition/state_aid/studies_reports/state_aid_grids_2015_en.pdf</w:t>
      </w:r>
    </w:p>
  </w:footnote>
  <w:footnote w:id="5">
    <w:p w:rsidR="00E5067D" w:rsidRPr="00EB011E" w:rsidRDefault="00E5067D" w:rsidP="00596465">
      <w:pPr>
        <w:pStyle w:val="BodyTextIndent2"/>
        <w:spacing w:before="0" w:after="0"/>
        <w:ind w:firstLine="0"/>
        <w:rPr>
          <w:sz w:val="20"/>
        </w:rPr>
      </w:pPr>
      <w:r w:rsidRPr="003C1C42">
        <w:rPr>
          <w:rStyle w:val="FootnoteReference"/>
          <w:sz w:val="20"/>
          <w:lang w:val="en-AU" w:eastAsia="bg-BG"/>
        </w:rPr>
        <w:footnoteRef/>
      </w:r>
      <w:r w:rsidRPr="003C1C42">
        <w:rPr>
          <w:rStyle w:val="FootnoteReference"/>
          <w:sz w:val="20"/>
          <w:lang w:val="en-AU" w:eastAsia="bg-BG"/>
        </w:rPr>
        <w:t xml:space="preserve"> </w:t>
      </w:r>
      <w:r w:rsidRPr="00596465">
        <w:rPr>
          <w:sz w:val="18"/>
          <w:szCs w:val="18"/>
        </w:rPr>
        <w:t>широколентов достъп;</w:t>
      </w:r>
      <w:r>
        <w:rPr>
          <w:sz w:val="18"/>
          <w:szCs w:val="18"/>
        </w:rPr>
        <w:t xml:space="preserve"> </w:t>
      </w:r>
      <w:r w:rsidRPr="00596465">
        <w:rPr>
          <w:sz w:val="18"/>
          <w:szCs w:val="18"/>
        </w:rPr>
        <w:t>научн</w:t>
      </w:r>
      <w:r>
        <w:rPr>
          <w:sz w:val="18"/>
          <w:szCs w:val="18"/>
        </w:rPr>
        <w:t xml:space="preserve">и </w:t>
      </w:r>
      <w:r w:rsidRPr="00596465">
        <w:rPr>
          <w:sz w:val="18"/>
          <w:szCs w:val="18"/>
        </w:rPr>
        <w:t>изследва</w:t>
      </w:r>
      <w:r>
        <w:rPr>
          <w:sz w:val="18"/>
          <w:szCs w:val="18"/>
        </w:rPr>
        <w:t>ния и иновации</w:t>
      </w:r>
      <w:r w:rsidRPr="00596465">
        <w:rPr>
          <w:sz w:val="18"/>
          <w:szCs w:val="18"/>
        </w:rPr>
        <w:t>;</w:t>
      </w:r>
      <w:r w:rsidRPr="00EB011E">
        <w:rPr>
          <w:sz w:val="20"/>
        </w:rPr>
        <w:t xml:space="preserve"> </w:t>
      </w:r>
      <w:r>
        <w:rPr>
          <w:sz w:val="18"/>
          <w:szCs w:val="18"/>
        </w:rPr>
        <w:t xml:space="preserve">изграждане на: </w:t>
      </w:r>
      <w:r w:rsidRPr="00596465">
        <w:rPr>
          <w:sz w:val="18"/>
          <w:szCs w:val="18"/>
        </w:rPr>
        <w:t>летищ</w:t>
      </w:r>
      <w:r>
        <w:rPr>
          <w:sz w:val="18"/>
          <w:szCs w:val="18"/>
        </w:rPr>
        <w:t>н</w:t>
      </w:r>
      <w:r w:rsidRPr="00596465">
        <w:rPr>
          <w:sz w:val="18"/>
          <w:szCs w:val="18"/>
        </w:rPr>
        <w:t>а</w:t>
      </w:r>
      <w:r>
        <w:rPr>
          <w:sz w:val="18"/>
          <w:szCs w:val="18"/>
        </w:rPr>
        <w:t xml:space="preserve"> инфраструктура</w:t>
      </w:r>
      <w:r w:rsidRPr="00596465">
        <w:rPr>
          <w:sz w:val="18"/>
          <w:szCs w:val="18"/>
        </w:rPr>
        <w:t>; пристанищ</w:t>
      </w:r>
      <w:r>
        <w:rPr>
          <w:sz w:val="18"/>
          <w:szCs w:val="18"/>
        </w:rPr>
        <w:t>на инфраструктура</w:t>
      </w:r>
      <w:r w:rsidRPr="00596465">
        <w:rPr>
          <w:sz w:val="18"/>
          <w:szCs w:val="18"/>
        </w:rPr>
        <w:t>; култур</w:t>
      </w:r>
      <w:r>
        <w:rPr>
          <w:sz w:val="18"/>
          <w:szCs w:val="18"/>
        </w:rPr>
        <w:t>н</w:t>
      </w:r>
      <w:r w:rsidRPr="00596465">
        <w:rPr>
          <w:sz w:val="18"/>
          <w:szCs w:val="18"/>
        </w:rPr>
        <w:t>а</w:t>
      </w:r>
      <w:r>
        <w:rPr>
          <w:sz w:val="18"/>
          <w:szCs w:val="18"/>
        </w:rPr>
        <w:t xml:space="preserve"> инфраструктура</w:t>
      </w:r>
      <w:r w:rsidRPr="00596465">
        <w:rPr>
          <w:sz w:val="18"/>
          <w:szCs w:val="18"/>
        </w:rPr>
        <w:t>;</w:t>
      </w:r>
      <w:r w:rsidRPr="00EB011E">
        <w:rPr>
          <w:sz w:val="20"/>
        </w:rPr>
        <w:t xml:space="preserve"> </w:t>
      </w:r>
    </w:p>
  </w:footnote>
  <w:footnote w:id="6">
    <w:p w:rsidR="00E5067D" w:rsidRPr="001A35D8" w:rsidRDefault="00E5067D" w:rsidP="001A35D8">
      <w:pPr>
        <w:pStyle w:val="BodyTextIndent2"/>
        <w:spacing w:before="0" w:after="0"/>
        <w:ind w:firstLine="0"/>
        <w:rPr>
          <w:sz w:val="18"/>
          <w:szCs w:val="18"/>
        </w:rPr>
      </w:pPr>
      <w:r w:rsidRPr="003C1C42">
        <w:rPr>
          <w:rStyle w:val="FootnoteReference"/>
          <w:sz w:val="20"/>
          <w:lang w:val="en-AU" w:eastAsia="bg-BG"/>
        </w:rPr>
        <w:footnoteRef/>
      </w:r>
      <w:r>
        <w:t xml:space="preserve"> </w:t>
      </w:r>
      <w:r w:rsidRPr="00CB5171">
        <w:rPr>
          <w:sz w:val="18"/>
          <w:szCs w:val="18"/>
        </w:rPr>
        <w:t xml:space="preserve">Инфраструктура за </w:t>
      </w:r>
      <w:r>
        <w:rPr>
          <w:sz w:val="18"/>
          <w:szCs w:val="18"/>
        </w:rPr>
        <w:t>ж</w:t>
      </w:r>
      <w:r w:rsidRPr="00CB5171">
        <w:rPr>
          <w:sz w:val="18"/>
          <w:szCs w:val="18"/>
        </w:rPr>
        <w:t>.п.</w:t>
      </w:r>
      <w:r>
        <w:rPr>
          <w:sz w:val="18"/>
          <w:szCs w:val="18"/>
        </w:rPr>
        <w:t>, метро, вътрешен транспорт;</w:t>
      </w:r>
      <w:r w:rsidRPr="00CB5171">
        <w:rPr>
          <w:sz w:val="18"/>
          <w:szCs w:val="18"/>
        </w:rPr>
        <w:t xml:space="preserve"> </w:t>
      </w:r>
      <w:r w:rsidRPr="00784F9A">
        <w:rPr>
          <w:sz w:val="18"/>
          <w:szCs w:val="18"/>
        </w:rPr>
        <w:t>инфраструктура</w:t>
      </w:r>
      <w:r w:rsidRPr="001A35D8">
        <w:rPr>
          <w:sz w:val="18"/>
          <w:szCs w:val="18"/>
        </w:rPr>
        <w:t xml:space="preserve"> за</w:t>
      </w:r>
      <w:r>
        <w:rPr>
          <w:sz w:val="18"/>
          <w:szCs w:val="18"/>
        </w:rPr>
        <w:t xml:space="preserve"> услуги за управление на отпадъците; и</w:t>
      </w:r>
      <w:r w:rsidRPr="001A35D8">
        <w:rPr>
          <w:sz w:val="18"/>
          <w:szCs w:val="18"/>
        </w:rPr>
        <w:t>зграждане на: спортна и мултифункционална инфраструктура</w:t>
      </w:r>
      <w:r>
        <w:rPr>
          <w:sz w:val="18"/>
          <w:szCs w:val="18"/>
        </w:rPr>
        <w:t xml:space="preserve"> за отдих; енергийна инфраструктура; </w:t>
      </w:r>
      <w:r w:rsidRPr="001A35D8">
        <w:rPr>
          <w:sz w:val="18"/>
          <w:szCs w:val="18"/>
        </w:rPr>
        <w:t xml:space="preserve"> </w:t>
      </w:r>
    </w:p>
  </w:footnote>
  <w:footnote w:id="7">
    <w:p w:rsidR="00E5067D" w:rsidRPr="00995618" w:rsidRDefault="00E5067D" w:rsidP="001A1ABA">
      <w:pPr>
        <w:jc w:val="both"/>
        <w:rPr>
          <w:lang w:val="bg-BG"/>
        </w:rPr>
      </w:pPr>
      <w:r>
        <w:rPr>
          <w:rStyle w:val="FootnoteReference"/>
        </w:rPr>
        <w:footnoteRef/>
      </w:r>
      <w:r>
        <w:t xml:space="preserve"> </w:t>
      </w:r>
      <w:hyperlink r:id="rId1"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http://ec.europa.eu/competition/state_aid/legislation/legislation.html</w:t>
        </w:r>
      </w:hyperlink>
    </w:p>
  </w:footnote>
  <w:footnote w:id="8">
    <w:p w:rsidR="00E5067D" w:rsidRPr="00995618" w:rsidRDefault="00E5067D">
      <w:pPr>
        <w:pStyle w:val="FootnoteText"/>
        <w:rPr>
          <w:lang w:val="bg-BG"/>
        </w:rPr>
      </w:pPr>
      <w:r>
        <w:rPr>
          <w:rStyle w:val="FootnoteReference"/>
        </w:rPr>
        <w:footnoteRef/>
      </w:r>
      <w:r>
        <w:t xml:space="preserve"> </w:t>
      </w:r>
      <w:hyperlink r:id="rId2"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http://stateaid.minfin.bg/bg/page/6</w:t>
        </w:r>
      </w:hyperlink>
    </w:p>
  </w:footnote>
  <w:footnote w:id="9">
    <w:p w:rsidR="00E5067D" w:rsidRPr="00C9561F" w:rsidRDefault="00E5067D">
      <w:pPr>
        <w:pStyle w:val="FootnoteText"/>
        <w:rPr>
          <w:sz w:val="16"/>
          <w:szCs w:val="16"/>
          <w:lang w:val="bg-BG"/>
        </w:rPr>
      </w:pPr>
      <w:r w:rsidRPr="009109F0">
        <w:rPr>
          <w:rStyle w:val="FootnoteReference"/>
        </w:rPr>
        <w:footnoteRef/>
      </w:r>
      <w:r w:rsidRPr="002B4B45">
        <w:rPr>
          <w:sz w:val="16"/>
          <w:szCs w:val="16"/>
        </w:rPr>
        <w:t xml:space="preserve"> </w:t>
      </w:r>
      <w:hyperlink r:id="rId3" w:history="1">
        <w:r w:rsidRPr="00DA7DED">
          <w:rPr>
            <w:rStyle w:val="Hyperlink"/>
            <w:sz w:val="16"/>
            <w:szCs w:val="16"/>
          </w:rPr>
          <w:t>http://ec.europa.eu/competition/elojade/isef/case_details.cfm?proc_code=3_SA_41373</w:t>
        </w:r>
      </w:hyperlink>
      <w:r>
        <w:rPr>
          <w:sz w:val="16"/>
          <w:szCs w:val="16"/>
          <w:lang w:val="bg-BG"/>
        </w:rPr>
        <w:t xml:space="preserve"> </w:t>
      </w:r>
    </w:p>
  </w:footnote>
  <w:footnote w:id="10">
    <w:p w:rsidR="00E5067D" w:rsidRPr="009109F0" w:rsidRDefault="00E5067D">
      <w:pPr>
        <w:pStyle w:val="FootnoteText"/>
        <w:rPr>
          <w:rStyle w:val="Hyperlink"/>
          <w:sz w:val="16"/>
          <w:szCs w:val="16"/>
        </w:rPr>
      </w:pPr>
      <w:r>
        <w:rPr>
          <w:rStyle w:val="FootnoteReference"/>
        </w:rPr>
        <w:footnoteRef/>
      </w:r>
      <w:r>
        <w:t xml:space="preserve"> </w:t>
      </w:r>
      <w:hyperlink r:id="rId4" w:history="1">
        <w:r w:rsidRPr="003658E3">
          <w:rPr>
            <w:rStyle w:val="Hyperlink"/>
            <w:sz w:val="16"/>
            <w:szCs w:val="16"/>
          </w:rPr>
          <w:t>http://ec.europa.eu/competition/elojade/isef/case_details.cfm?proc_code=3_SA_41939</w:t>
        </w:r>
      </w:hyperlink>
      <w:r>
        <w:rPr>
          <w:sz w:val="16"/>
          <w:szCs w:val="16"/>
        </w:rPr>
        <w:t xml:space="preserve"> </w:t>
      </w:r>
    </w:p>
  </w:footnote>
  <w:footnote w:id="11">
    <w:p w:rsidR="00E5067D" w:rsidRPr="009109F0" w:rsidRDefault="00E5067D">
      <w:pPr>
        <w:pStyle w:val="FootnoteText"/>
        <w:rPr>
          <w:rStyle w:val="Hyperlink"/>
          <w:sz w:val="16"/>
          <w:szCs w:val="16"/>
        </w:rPr>
      </w:pPr>
      <w:r>
        <w:rPr>
          <w:rStyle w:val="FootnoteReference"/>
        </w:rPr>
        <w:footnoteRef/>
      </w:r>
      <w:r>
        <w:t xml:space="preserve"> </w:t>
      </w:r>
      <w:hyperlink r:id="rId5" w:history="1">
        <w:r w:rsidRPr="009109F0">
          <w:rPr>
            <w:rStyle w:val="Hyperlink"/>
            <w:sz w:val="16"/>
            <w:szCs w:val="16"/>
          </w:rPr>
          <w:t>http://ec.europa.eu/competition/elojade/isef/case_details.cfm?proc_code=3_SA_40836</w:t>
        </w:r>
      </w:hyperlink>
    </w:p>
  </w:footnote>
  <w:footnote w:id="12">
    <w:p w:rsidR="00E5067D" w:rsidRPr="002A075E" w:rsidRDefault="00E5067D">
      <w:pPr>
        <w:pStyle w:val="FootnoteText"/>
        <w:rPr>
          <w:lang w:val="bg-BG"/>
        </w:rPr>
      </w:pPr>
      <w:r>
        <w:rPr>
          <w:rStyle w:val="FootnoteReference"/>
        </w:rPr>
        <w:footnoteRef/>
      </w:r>
      <w:r>
        <w:t xml:space="preserve"> </w:t>
      </w:r>
      <w:hyperlink r:id="rId6" w:history="1">
        <w:r w:rsidRPr="009109F0">
          <w:rPr>
            <w:rStyle w:val="Hyperlink"/>
            <w:sz w:val="16"/>
            <w:szCs w:val="16"/>
          </w:rPr>
          <w:t>http://ec.europa.eu/competition/elojade/isef/case_details.cfm?proc_code=3_SA_39466</w:t>
        </w:r>
      </w:hyperlink>
      <w:r w:rsidRPr="009109F0">
        <w:rPr>
          <w:rStyle w:val="Hyperlink"/>
          <w:sz w:val="16"/>
          <w:szCs w:val="16"/>
        </w:rPr>
        <w:t xml:space="preserve"> </w:t>
      </w:r>
    </w:p>
  </w:footnote>
  <w:footnote w:id="13">
    <w:p w:rsidR="00E5067D" w:rsidRPr="0060052B" w:rsidRDefault="00E5067D">
      <w:pPr>
        <w:pStyle w:val="FootnoteText"/>
        <w:rPr>
          <w:rStyle w:val="Hyperlink"/>
          <w:sz w:val="16"/>
          <w:szCs w:val="16"/>
        </w:rPr>
      </w:pPr>
      <w:r>
        <w:rPr>
          <w:rStyle w:val="FootnoteReference"/>
        </w:rPr>
        <w:footnoteRef/>
      </w:r>
      <w:r>
        <w:t xml:space="preserve"> </w:t>
      </w:r>
      <w:r w:rsidRPr="0060052B">
        <w:rPr>
          <w:rStyle w:val="Hyperlink"/>
          <w:sz w:val="16"/>
          <w:szCs w:val="16"/>
        </w:rPr>
        <w:t>http://ec.europa.eu/competition/elojade/isef/case_details.cfm?proc_code=3_SA_39654</w:t>
      </w:r>
    </w:p>
  </w:footnote>
  <w:footnote w:id="14">
    <w:p w:rsidR="00E5067D" w:rsidRPr="001820CD" w:rsidRDefault="00E5067D">
      <w:pPr>
        <w:pStyle w:val="FootnoteText"/>
        <w:rPr>
          <w:lang w:val="bg-BG"/>
        </w:rPr>
      </w:pPr>
      <w:r>
        <w:rPr>
          <w:rStyle w:val="FootnoteReference"/>
        </w:rPr>
        <w:footnoteRef/>
      </w:r>
      <w:r>
        <w:t xml:space="preserve"> </w:t>
      </w:r>
      <w:hyperlink r:id="rId7" w:history="1">
        <w:r w:rsidRPr="009109F0">
          <w:rPr>
            <w:rStyle w:val="Hyperlink"/>
            <w:sz w:val="16"/>
            <w:szCs w:val="16"/>
          </w:rPr>
          <w:t>http://ec.europa.eu/competition/elojade/isef/case_details.cfm?proc_code=3_SA_39962</w:t>
        </w:r>
      </w:hyperlink>
    </w:p>
  </w:footnote>
  <w:footnote w:id="15">
    <w:p w:rsidR="00E5067D" w:rsidRPr="00F5791A" w:rsidRDefault="00E5067D">
      <w:pPr>
        <w:pStyle w:val="FootnoteText"/>
        <w:rPr>
          <w:lang w:val="bg-BG"/>
        </w:rPr>
      </w:pPr>
      <w:r>
        <w:rPr>
          <w:rStyle w:val="FootnoteReference"/>
        </w:rPr>
        <w:footnoteRef/>
      </w:r>
      <w:r>
        <w:t xml:space="preserve"> </w:t>
      </w:r>
      <w:hyperlink r:id="rId8" w:history="1">
        <w:r w:rsidRPr="009109F0">
          <w:rPr>
            <w:rStyle w:val="Hyperlink"/>
            <w:sz w:val="16"/>
            <w:szCs w:val="16"/>
          </w:rPr>
          <w:t>http://ec.europa.eu/competition/elojade/isef/case_details.cfm?proc_code=3_SA_391</w:t>
        </w:r>
        <w:r w:rsidRPr="00D6420E">
          <w:rPr>
            <w:rStyle w:val="Hyperlink"/>
            <w:sz w:val="16"/>
            <w:szCs w:val="16"/>
            <w:lang w:val="bg-BG"/>
          </w:rPr>
          <w:t>7</w:t>
        </w:r>
        <w:r w:rsidRPr="009109F0">
          <w:rPr>
            <w:rStyle w:val="Hyperlink"/>
            <w:sz w:val="16"/>
            <w:szCs w:val="16"/>
          </w:rPr>
          <w:t>7</w:t>
        </w:r>
      </w:hyperlink>
    </w:p>
  </w:footnote>
  <w:footnote w:id="16">
    <w:p w:rsidR="00E5067D" w:rsidRPr="001820CD" w:rsidRDefault="00E5067D">
      <w:pPr>
        <w:pStyle w:val="FootnoteText"/>
        <w:rPr>
          <w:lang w:val="bg-BG"/>
        </w:rPr>
      </w:pPr>
      <w:r>
        <w:rPr>
          <w:rStyle w:val="FootnoteReference"/>
        </w:rPr>
        <w:footnoteRef/>
      </w:r>
      <w:r>
        <w:t xml:space="preserve"> </w:t>
      </w:r>
      <w:hyperlink r:id="rId9" w:history="1">
        <w:r w:rsidRPr="003658E3">
          <w:rPr>
            <w:rStyle w:val="Hyperlink"/>
            <w:sz w:val="16"/>
            <w:szCs w:val="16"/>
          </w:rPr>
          <w:t>http://ec.europa.eu/competition/elojade/isef/case_details.cfm?proc_code=3_SA_42424</w:t>
        </w:r>
      </w:hyperlink>
      <w:r>
        <w:rPr>
          <w:rStyle w:val="Hyperlink"/>
          <w:sz w:val="16"/>
          <w:szCs w:val="16"/>
        </w:rPr>
        <w:t xml:space="preserve">  </w:t>
      </w:r>
    </w:p>
  </w:footnote>
  <w:footnote w:id="17">
    <w:p w:rsidR="00E5067D" w:rsidRPr="005E1EDF" w:rsidRDefault="00E5067D">
      <w:pPr>
        <w:pStyle w:val="FootnoteText"/>
        <w:rPr>
          <w:rStyle w:val="Hyperlink"/>
          <w:sz w:val="16"/>
          <w:szCs w:val="16"/>
        </w:rPr>
      </w:pPr>
      <w:r>
        <w:rPr>
          <w:rStyle w:val="FootnoteReference"/>
        </w:rPr>
        <w:footnoteRef/>
      </w:r>
      <w:r>
        <w:t xml:space="preserve"> </w:t>
      </w:r>
      <w:hyperlink r:id="rId10" w:history="1">
        <w:r w:rsidRPr="00433010">
          <w:rPr>
            <w:rStyle w:val="Hyperlink"/>
            <w:sz w:val="16"/>
            <w:szCs w:val="16"/>
          </w:rPr>
          <w:t>http://ec.europa.eu/competition/elojade/isef/case_details.cfm?proc_code=3_SA_38406</w:t>
        </w:r>
      </w:hyperlink>
      <w:r>
        <w:rPr>
          <w:rStyle w:val="Hyperlink"/>
          <w:sz w:val="16"/>
          <w:szCs w:val="16"/>
        </w:rPr>
        <w:t xml:space="preserve"> </w:t>
      </w:r>
      <w:r w:rsidRPr="005E1EDF">
        <w:rPr>
          <w:rStyle w:val="Hyperlink"/>
          <w:sz w:val="16"/>
          <w:szCs w:val="16"/>
        </w:rPr>
        <w:t xml:space="preserve"> </w:t>
      </w:r>
    </w:p>
  </w:footnote>
  <w:footnote w:id="18">
    <w:p w:rsidR="00E5067D" w:rsidRPr="005E1EDF" w:rsidRDefault="00E5067D">
      <w:pPr>
        <w:pStyle w:val="FootnoteText"/>
        <w:rPr>
          <w:rStyle w:val="Hyperlink"/>
          <w:sz w:val="16"/>
          <w:szCs w:val="16"/>
        </w:rPr>
      </w:pPr>
      <w:r>
        <w:rPr>
          <w:rStyle w:val="FootnoteReference"/>
        </w:rPr>
        <w:footnoteRef/>
      </w:r>
      <w:r>
        <w:t xml:space="preserve"> </w:t>
      </w:r>
      <w:hyperlink r:id="rId11" w:history="1">
        <w:r w:rsidRPr="005E1EDF">
          <w:rPr>
            <w:rStyle w:val="Hyperlink"/>
            <w:sz w:val="16"/>
            <w:szCs w:val="16"/>
          </w:rPr>
          <w:t>http://ec.europa.eu/competition/elojade/isef/case_details.cfm?proc_code=3_SA_38336</w:t>
        </w:r>
      </w:hyperlink>
      <w:r w:rsidRPr="005E1EDF">
        <w:rPr>
          <w:rStyle w:val="Hyperlink"/>
          <w:sz w:val="16"/>
          <w:szCs w:val="16"/>
        </w:rPr>
        <w:t xml:space="preserve"> </w:t>
      </w:r>
    </w:p>
  </w:footnote>
  <w:footnote w:id="19">
    <w:p w:rsidR="00E5067D" w:rsidRPr="002E2318" w:rsidRDefault="00E5067D">
      <w:pPr>
        <w:pStyle w:val="FootnoteText"/>
        <w:rPr>
          <w:lang w:val="bg-BG"/>
        </w:rPr>
      </w:pPr>
      <w:r>
        <w:rPr>
          <w:rStyle w:val="FootnoteReference"/>
        </w:rPr>
        <w:footnoteRef/>
      </w:r>
      <w:r>
        <w:t xml:space="preserve"> </w:t>
      </w:r>
      <w:hyperlink r:id="rId12" w:history="1">
        <w:r w:rsidRPr="005E1EDF">
          <w:rPr>
            <w:rStyle w:val="Hyperlink"/>
            <w:sz w:val="16"/>
            <w:szCs w:val="16"/>
          </w:rPr>
          <w:t>http://ec.europa.eu/competition/elojade/isef/case_details.cfm?proc_code=3_SA_42388</w:t>
        </w:r>
      </w:hyperlink>
    </w:p>
  </w:footnote>
  <w:footnote w:id="20">
    <w:p w:rsidR="00E5067D" w:rsidRPr="002E2318" w:rsidRDefault="00E5067D">
      <w:pPr>
        <w:pStyle w:val="FootnoteText"/>
        <w:rPr>
          <w:lang w:val="bg-BG"/>
        </w:rPr>
      </w:pPr>
      <w:r>
        <w:rPr>
          <w:rStyle w:val="FootnoteReference"/>
        </w:rPr>
        <w:footnoteRef/>
      </w:r>
      <w:r>
        <w:t xml:space="preserve"> </w:t>
      </w:r>
      <w:hyperlink r:id="rId13" w:history="1">
        <w:r w:rsidRPr="005E1EDF">
          <w:rPr>
            <w:rStyle w:val="Hyperlink"/>
            <w:sz w:val="16"/>
            <w:szCs w:val="16"/>
          </w:rPr>
          <w:t>http://ec.europa.eu/competition/elojade/isef/case_details.cfm?proc_code=3_SA_39869</w:t>
        </w:r>
      </w:hyperlink>
    </w:p>
  </w:footnote>
  <w:footnote w:id="21">
    <w:p w:rsidR="00E5067D" w:rsidRPr="001A3AB1" w:rsidRDefault="00E5067D">
      <w:pPr>
        <w:pStyle w:val="FootnoteText"/>
        <w:rPr>
          <w:lang w:val="bg-BG"/>
        </w:rPr>
      </w:pPr>
      <w:r>
        <w:rPr>
          <w:rStyle w:val="FootnoteReference"/>
        </w:rPr>
        <w:footnoteRef/>
      </w:r>
      <w:r>
        <w:t xml:space="preserve"> </w:t>
      </w:r>
      <w:hyperlink r:id="rId14" w:history="1">
        <w:r w:rsidRPr="005E1EDF">
          <w:rPr>
            <w:rStyle w:val="Hyperlink"/>
            <w:sz w:val="16"/>
            <w:szCs w:val="16"/>
          </w:rPr>
          <w:t>http://ec.europa.eu/competition/elojade/isef/case_details.cfm?proc_code=3_SA_41620</w:t>
        </w:r>
      </w:hyperlink>
    </w:p>
  </w:footnote>
  <w:footnote w:id="22">
    <w:p w:rsidR="00E5067D" w:rsidRPr="0034302E" w:rsidRDefault="00E5067D" w:rsidP="00130D5C">
      <w:pPr>
        <w:pStyle w:val="FootnoteText"/>
        <w:rPr>
          <w:sz w:val="16"/>
          <w:szCs w:val="16"/>
          <w:lang w:val="bg-BG"/>
        </w:rPr>
      </w:pPr>
      <w:r w:rsidRPr="009109F0">
        <w:rPr>
          <w:rStyle w:val="FootnoteReference"/>
        </w:rPr>
        <w:footnoteRef/>
      </w:r>
      <w:r w:rsidRPr="002B4B45">
        <w:rPr>
          <w:sz w:val="16"/>
          <w:szCs w:val="16"/>
        </w:rPr>
        <w:t xml:space="preserve"> </w:t>
      </w:r>
      <w:hyperlink r:id="rId15" w:history="1">
        <w:r w:rsidRPr="00DA7DED">
          <w:rPr>
            <w:rStyle w:val="Hyperlink"/>
            <w:sz w:val="16"/>
            <w:szCs w:val="16"/>
          </w:rPr>
          <w:t>http://ec.europa.eu/competition/elojade/isef/case_details.cfm?proc_code=3_SA_40266</w:t>
        </w:r>
      </w:hyperlink>
    </w:p>
  </w:footnote>
  <w:footnote w:id="23">
    <w:p w:rsidR="00E5067D" w:rsidRPr="00B36B71" w:rsidRDefault="00E5067D" w:rsidP="00130D5C">
      <w:pPr>
        <w:pStyle w:val="FootnoteText"/>
        <w:rPr>
          <w:lang w:val="bg-BG"/>
        </w:rPr>
      </w:pPr>
      <w:r>
        <w:rPr>
          <w:rStyle w:val="FootnoteReference"/>
        </w:rPr>
        <w:footnoteRef/>
      </w:r>
      <w:r>
        <w:t xml:space="preserve"> </w:t>
      </w:r>
      <w:r w:rsidRPr="009109F0">
        <w:rPr>
          <w:rStyle w:val="Hyperlink"/>
          <w:sz w:val="16"/>
          <w:szCs w:val="16"/>
        </w:rPr>
        <w:t>http://ec.europa.eu/competition/elojade/isef/case_details.cfm?proc_code=3_SA_41549</w:t>
      </w:r>
    </w:p>
  </w:footnote>
  <w:footnote w:id="24">
    <w:p w:rsidR="00E5067D" w:rsidRPr="00B36B71" w:rsidRDefault="00E5067D" w:rsidP="00130D5C">
      <w:pPr>
        <w:pStyle w:val="FootnoteText"/>
        <w:rPr>
          <w:lang w:val="bg-BG"/>
        </w:rPr>
      </w:pPr>
      <w:r>
        <w:rPr>
          <w:rStyle w:val="FootnoteReference"/>
        </w:rPr>
        <w:footnoteRef/>
      </w:r>
      <w:r>
        <w:t xml:space="preserve"> </w:t>
      </w:r>
      <w:r w:rsidRPr="009109F0">
        <w:rPr>
          <w:rStyle w:val="Hyperlink"/>
          <w:sz w:val="16"/>
          <w:szCs w:val="16"/>
        </w:rPr>
        <w:t>http://ec.europa.eu/competition/elojade/isef/case_details.cfm?proc_code=3_SA_41471</w:t>
      </w:r>
    </w:p>
  </w:footnote>
  <w:footnote w:id="25">
    <w:p w:rsidR="00E5067D" w:rsidRPr="00B36B71" w:rsidRDefault="00E5067D" w:rsidP="00130D5C">
      <w:pPr>
        <w:pStyle w:val="FootnoteText"/>
        <w:rPr>
          <w:lang w:val="bg-BG"/>
        </w:rPr>
      </w:pPr>
      <w:r>
        <w:rPr>
          <w:rStyle w:val="FootnoteReference"/>
        </w:rPr>
        <w:footnoteRef/>
      </w:r>
      <w:r>
        <w:t xml:space="preserve"> </w:t>
      </w:r>
      <w:r w:rsidRPr="009109F0">
        <w:rPr>
          <w:rStyle w:val="Hyperlink"/>
          <w:sz w:val="16"/>
          <w:szCs w:val="16"/>
        </w:rPr>
        <w:t>http://ec.europa.eu/competition/elojade/isef/case_details.cfm?proc_code=3_SA_42136</w:t>
      </w:r>
    </w:p>
  </w:footnote>
  <w:footnote w:id="26">
    <w:p w:rsidR="00E5067D" w:rsidRPr="002B4B45" w:rsidRDefault="00E5067D" w:rsidP="0048453A">
      <w:pPr>
        <w:pStyle w:val="FootnoteText"/>
        <w:rPr>
          <w:sz w:val="18"/>
          <w:szCs w:val="18"/>
          <w:lang w:val="en-US"/>
        </w:rPr>
      </w:pPr>
      <w:r w:rsidRPr="002B4B45">
        <w:rPr>
          <w:rStyle w:val="FootnoteReference"/>
          <w:sz w:val="18"/>
          <w:szCs w:val="18"/>
        </w:rPr>
        <w:footnoteRef/>
      </w:r>
      <w:r w:rsidRPr="002B4B45">
        <w:rPr>
          <w:sz w:val="18"/>
          <w:szCs w:val="18"/>
        </w:rPr>
        <w:t xml:space="preserve"> </w:t>
      </w:r>
      <w:r w:rsidRPr="003C1C42">
        <w:rPr>
          <w:rStyle w:val="Hyperlink"/>
          <w:sz w:val="16"/>
          <w:szCs w:val="16"/>
        </w:rPr>
        <w:t>http://ec.europa.eu/competition/elojade/isef/case_details.cfm?proc_code=3_SA_38544</w:t>
      </w:r>
    </w:p>
  </w:footnote>
  <w:footnote w:id="27">
    <w:p w:rsidR="00E5067D" w:rsidRPr="002B4B45" w:rsidRDefault="00E5067D">
      <w:pPr>
        <w:pStyle w:val="FootnoteText"/>
        <w:rPr>
          <w:sz w:val="18"/>
          <w:szCs w:val="18"/>
          <w:lang w:val="en-US"/>
        </w:rPr>
      </w:pPr>
      <w:r w:rsidRPr="002B4B45">
        <w:rPr>
          <w:rStyle w:val="FootnoteReference"/>
          <w:sz w:val="18"/>
          <w:szCs w:val="18"/>
        </w:rPr>
        <w:footnoteRef/>
      </w:r>
      <w:r w:rsidRPr="002B4B45">
        <w:rPr>
          <w:sz w:val="18"/>
          <w:szCs w:val="18"/>
        </w:rPr>
        <w:t xml:space="preserve"> </w:t>
      </w:r>
      <w:r w:rsidRPr="003C1C42">
        <w:rPr>
          <w:rStyle w:val="Hyperlink"/>
          <w:sz w:val="16"/>
          <w:szCs w:val="16"/>
        </w:rPr>
        <w:t>http://ec.europa.eu/competition/elojade/isef/case_details.cfm?proc_code=3_SA_33083</w:t>
      </w:r>
    </w:p>
  </w:footnote>
  <w:footnote w:id="28">
    <w:p w:rsidR="00E5067D" w:rsidRPr="006D0CD4" w:rsidRDefault="00E5067D" w:rsidP="0048453A">
      <w:pPr>
        <w:pStyle w:val="FootnoteText"/>
        <w:rPr>
          <w:sz w:val="18"/>
          <w:szCs w:val="18"/>
          <w:lang w:val="bg-BG"/>
        </w:rPr>
      </w:pPr>
      <w:r w:rsidRPr="002B4B45">
        <w:rPr>
          <w:rStyle w:val="FootnoteReference"/>
          <w:sz w:val="18"/>
          <w:szCs w:val="18"/>
        </w:rPr>
        <w:footnoteRef/>
      </w:r>
      <w:r w:rsidRPr="002B4B45">
        <w:rPr>
          <w:sz w:val="18"/>
          <w:szCs w:val="18"/>
        </w:rPr>
        <w:t xml:space="preserve"> </w:t>
      </w:r>
      <w:r w:rsidRPr="003C1C42">
        <w:rPr>
          <w:rStyle w:val="Hyperlink"/>
          <w:sz w:val="16"/>
          <w:szCs w:val="16"/>
        </w:rPr>
        <w:t>http://ec.europa.eu/competition/elojade/isef/case_details.cfm?proc_code=3_SA_35083</w:t>
      </w:r>
    </w:p>
  </w:footnote>
  <w:footnote w:id="29">
    <w:p w:rsidR="00E5067D" w:rsidRPr="00C500DC" w:rsidRDefault="00E5067D">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6" w:history="1">
        <w:r w:rsidRPr="003C1C42">
          <w:rPr>
            <w:rStyle w:val="Hyperlink"/>
            <w:sz w:val="16"/>
            <w:szCs w:val="16"/>
          </w:rPr>
          <w:t>http://curia.europa.eu/juris/liste.jsf?language=en&amp;td=ALL&amp;num=C-89/14</w:t>
        </w:r>
      </w:hyperlink>
    </w:p>
  </w:footnote>
  <w:footnote w:id="30">
    <w:p w:rsidR="00E5067D" w:rsidRPr="00C500DC" w:rsidRDefault="00E5067D" w:rsidP="00F553D4">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7" w:history="1">
        <w:r w:rsidRPr="003C1C42">
          <w:rPr>
            <w:rStyle w:val="Hyperlink"/>
            <w:sz w:val="16"/>
            <w:szCs w:val="16"/>
          </w:rPr>
          <w:t>http://curia.europa.eu/juris/liste.jsf?language=en&amp;td=ALL&amp;num=C-33/14%20P</w:t>
        </w:r>
      </w:hyperlink>
    </w:p>
  </w:footnote>
  <w:footnote w:id="31">
    <w:p w:rsidR="00E5067D" w:rsidRPr="00C500DC" w:rsidRDefault="00E5067D" w:rsidP="00F553D4">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8" w:history="1">
        <w:r w:rsidRPr="00DA7DED">
          <w:rPr>
            <w:rStyle w:val="Hyperlink"/>
            <w:sz w:val="18"/>
            <w:szCs w:val="18"/>
          </w:rPr>
          <w:t>h</w:t>
        </w:r>
        <w:r w:rsidRPr="003C1C42">
          <w:rPr>
            <w:rStyle w:val="Hyperlink"/>
            <w:sz w:val="16"/>
            <w:szCs w:val="16"/>
          </w:rPr>
          <w:t>ttp://curia.europa.eu/juris/liste.jsf?language=en&amp;td=ALL&amp;num=C-367/14</w:t>
        </w:r>
      </w:hyperlink>
    </w:p>
  </w:footnote>
  <w:footnote w:id="32">
    <w:p w:rsidR="00E5067D" w:rsidRPr="0055742C" w:rsidRDefault="00E5067D">
      <w:pPr>
        <w:pStyle w:val="FootnoteText"/>
        <w:rPr>
          <w:lang w:val="bg-BG"/>
        </w:rPr>
      </w:pPr>
      <w:r>
        <w:rPr>
          <w:rStyle w:val="FootnoteReference"/>
        </w:rPr>
        <w:footnoteRef/>
      </w:r>
      <w:r>
        <w:t xml:space="preserve"> </w:t>
      </w:r>
      <w:hyperlink r:id="rId19" w:history="1">
        <w:r w:rsidRPr="003F30E5">
          <w:rPr>
            <w:rStyle w:val="Hyperlink"/>
            <w:sz w:val="16"/>
            <w:szCs w:val="16"/>
          </w:rPr>
          <w:t>http://curia.europa.eu/juris/liste.jsf?language=en&amp;td=ALL&amp;num=T-1/08%20INTP</w:t>
        </w:r>
      </w:hyperlink>
    </w:p>
  </w:footnote>
  <w:footnote w:id="33">
    <w:p w:rsidR="00E5067D" w:rsidRPr="0055742C" w:rsidRDefault="00E5067D">
      <w:pPr>
        <w:pStyle w:val="FootnoteText"/>
        <w:rPr>
          <w:lang w:val="bg-BG"/>
        </w:rPr>
      </w:pPr>
      <w:r>
        <w:rPr>
          <w:rStyle w:val="FootnoteReference"/>
        </w:rPr>
        <w:footnoteRef/>
      </w:r>
      <w:r>
        <w:t xml:space="preserve"> </w:t>
      </w:r>
      <w:hyperlink r:id="rId20" w:history="1">
        <w:r w:rsidRPr="003F30E5">
          <w:rPr>
            <w:rStyle w:val="Hyperlink"/>
            <w:sz w:val="16"/>
            <w:szCs w:val="16"/>
          </w:rPr>
          <w:t>http://curia.europa.eu/juris/liste.jsf?language=en&amp;td=ALL&amp;num=T-421/07%20RENV</w:t>
        </w:r>
      </w:hyperlink>
    </w:p>
  </w:footnote>
  <w:footnote w:id="34">
    <w:p w:rsidR="00E5067D" w:rsidRPr="0055742C" w:rsidRDefault="00E5067D">
      <w:pPr>
        <w:pStyle w:val="FootnoteText"/>
        <w:rPr>
          <w:lang w:val="bg-BG"/>
        </w:rPr>
      </w:pPr>
      <w:r>
        <w:rPr>
          <w:rStyle w:val="FootnoteReference"/>
        </w:rPr>
        <w:footnoteRef/>
      </w:r>
      <w:r>
        <w:t xml:space="preserve"> </w:t>
      </w:r>
      <w:hyperlink r:id="rId21" w:history="1">
        <w:r w:rsidRPr="003F30E5">
          <w:rPr>
            <w:rStyle w:val="Hyperlink"/>
            <w:sz w:val="16"/>
            <w:szCs w:val="16"/>
          </w:rPr>
          <w:t>http://curia.europa.eu/juris/liste.jsf?language=en&amp;td=ALL&amp;num=T-125/12</w:t>
        </w:r>
      </w:hyperlink>
    </w:p>
  </w:footnote>
  <w:footnote w:id="35">
    <w:p w:rsidR="00E5067D" w:rsidRPr="0055742C" w:rsidRDefault="00E5067D">
      <w:pPr>
        <w:pStyle w:val="FootnoteText"/>
        <w:rPr>
          <w:lang w:val="bg-BG"/>
        </w:rPr>
      </w:pPr>
      <w:r>
        <w:rPr>
          <w:rStyle w:val="FootnoteReference"/>
        </w:rPr>
        <w:footnoteRef/>
      </w:r>
      <w:r>
        <w:t xml:space="preserve"> </w:t>
      </w:r>
      <w:hyperlink r:id="rId22" w:history="1">
        <w:r w:rsidRPr="00AB15F2">
          <w:rPr>
            <w:rStyle w:val="Hyperlink"/>
            <w:sz w:val="16"/>
            <w:szCs w:val="16"/>
          </w:rPr>
          <w:t>http://curia.europa.eu/juris/liste.jsf?language=en&amp;td=ALL&amp;num=T-674/11</w:t>
        </w:r>
      </w:hyperlink>
    </w:p>
  </w:footnote>
  <w:footnote w:id="36">
    <w:p w:rsidR="00E5067D" w:rsidRPr="00C500DC" w:rsidRDefault="00E5067D">
      <w:pPr>
        <w:pStyle w:val="FootnoteText"/>
        <w:rPr>
          <w:lang w:val="bg-BG"/>
        </w:rPr>
      </w:pPr>
      <w:r>
        <w:rPr>
          <w:rStyle w:val="FootnoteReference"/>
        </w:rPr>
        <w:footnoteRef/>
      </w:r>
      <w:r>
        <w:t xml:space="preserve"> </w:t>
      </w:r>
      <w:hyperlink r:id="rId23" w:history="1">
        <w:r w:rsidRPr="003C1C42">
          <w:rPr>
            <w:rStyle w:val="Hyperlink"/>
            <w:sz w:val="16"/>
            <w:szCs w:val="16"/>
          </w:rPr>
          <w:t>http://www.lexxion.eu/training/state-aid/essentials-berlin</w:t>
        </w:r>
      </w:hyperlink>
    </w:p>
  </w:footnote>
  <w:footnote w:id="37">
    <w:p w:rsidR="00E5067D" w:rsidRPr="001260A1" w:rsidRDefault="00E5067D" w:rsidP="00E54EFC">
      <w:pPr>
        <w:pStyle w:val="FootnoteText"/>
        <w:rPr>
          <w:lang w:val="bg-BG"/>
        </w:rPr>
      </w:pPr>
      <w:r>
        <w:rPr>
          <w:rStyle w:val="FootnoteReference"/>
        </w:rPr>
        <w:footnoteRef/>
      </w:r>
      <w:r>
        <w:t xml:space="preserve"> </w:t>
      </w:r>
      <w:hyperlink r:id="rId24" w:history="1">
        <w:r w:rsidRPr="003C1C42">
          <w:rPr>
            <w:rStyle w:val="Hyperlink"/>
            <w:sz w:val="16"/>
            <w:szCs w:val="16"/>
          </w:rPr>
          <w:t>http://www.lexxion.de/de/verlagsprogramm-konferenzen/state-aid-law/european-conference-state-aid-a-control-of-esi-funds.html</w:t>
        </w:r>
      </w:hyperlink>
    </w:p>
  </w:footnote>
  <w:footnote w:id="38">
    <w:p w:rsidR="00E5067D" w:rsidRPr="00CC4DD0" w:rsidRDefault="00E5067D" w:rsidP="008A23CA">
      <w:pPr>
        <w:pStyle w:val="FootnoteText"/>
        <w:rPr>
          <w:lang w:val="bg-BG"/>
        </w:rPr>
      </w:pPr>
      <w:r>
        <w:rPr>
          <w:rStyle w:val="FootnoteReference"/>
        </w:rPr>
        <w:footnoteRef/>
      </w:r>
      <w:r>
        <w:t xml:space="preserve"> </w:t>
      </w:r>
      <w:r w:rsidRPr="00696B30">
        <w:rPr>
          <w:rStyle w:val="Hyperlink"/>
          <w:sz w:val="16"/>
          <w:szCs w:val="16"/>
        </w:rPr>
        <w:t>http://www.lexxion.eu/training/state-aid/tax</w:t>
      </w:r>
    </w:p>
  </w:footnote>
  <w:footnote w:id="39">
    <w:p w:rsidR="00E5067D" w:rsidRPr="005A3A04" w:rsidRDefault="00E5067D">
      <w:pPr>
        <w:pStyle w:val="FootnoteText"/>
        <w:rPr>
          <w:lang w:val="bg-BG"/>
        </w:rPr>
      </w:pPr>
      <w:r>
        <w:rPr>
          <w:rStyle w:val="FootnoteReference"/>
        </w:rPr>
        <w:footnoteRef/>
      </w:r>
      <w:r>
        <w:t xml:space="preserve"> </w:t>
      </w:r>
      <w:hyperlink r:id="rId25" w:history="1">
        <w:r w:rsidRPr="00AB15F2">
          <w:rPr>
            <w:rStyle w:val="Hyperlink"/>
            <w:sz w:val="16"/>
            <w:szCs w:val="16"/>
          </w:rPr>
          <w:t>http://seminars.eipa.eu/en/activities09/show/&amp;tid=5707</w:t>
        </w:r>
      </w:hyperlink>
    </w:p>
  </w:footnote>
  <w:footnote w:id="40">
    <w:p w:rsidR="00E5067D" w:rsidRPr="00985056" w:rsidRDefault="00E5067D" w:rsidP="00985056">
      <w:pPr>
        <w:jc w:val="both"/>
        <w:rPr>
          <w:lang w:val="bg-BG"/>
        </w:rPr>
      </w:pPr>
      <w:r>
        <w:rPr>
          <w:rStyle w:val="FootnoteReference"/>
        </w:rPr>
        <w:footnoteRef/>
      </w:r>
      <w:r>
        <w:t xml:space="preserve"> </w:t>
      </w:r>
      <w:r w:rsidRPr="00985056">
        <w:rPr>
          <w:rStyle w:val="Hyperlink"/>
          <w:sz w:val="16"/>
          <w:szCs w:val="16"/>
        </w:rPr>
        <w:t>http://www.strategy.bg/PublicConsultations/View.aspx?lang=bg-BG&amp;Id=1822</w:t>
      </w:r>
    </w:p>
  </w:footnote>
  <w:footnote w:id="41">
    <w:p w:rsidR="00E5067D" w:rsidRPr="009109F0" w:rsidRDefault="00E5067D">
      <w:pPr>
        <w:pStyle w:val="FootnoteText"/>
        <w:rPr>
          <w:lang w:val="bg-BG"/>
        </w:rPr>
      </w:pPr>
      <w:r>
        <w:rPr>
          <w:rStyle w:val="FootnoteReference"/>
        </w:rPr>
        <w:footnoteRef/>
      </w:r>
      <w:r>
        <w:t xml:space="preserve"> </w:t>
      </w:r>
      <w:r w:rsidRPr="00F27442">
        <w:rPr>
          <w:rStyle w:val="Hyperlink"/>
          <w:sz w:val="16"/>
          <w:szCs w:val="16"/>
        </w:rPr>
        <w:t>http://europa.eu/rapid/press-release_IP-15-5458_en.htm</w:t>
      </w:r>
    </w:p>
  </w:footnote>
  <w:footnote w:id="42">
    <w:p w:rsidR="00E5067D" w:rsidRPr="009109F0" w:rsidRDefault="00E5067D">
      <w:pPr>
        <w:pStyle w:val="FootnoteText"/>
        <w:rPr>
          <w:lang w:val="bg-BG"/>
        </w:rPr>
      </w:pPr>
      <w:r>
        <w:rPr>
          <w:rStyle w:val="FootnoteReference"/>
        </w:rPr>
        <w:footnoteRef/>
      </w:r>
      <w:r>
        <w:t xml:space="preserve"> </w:t>
      </w:r>
      <w:r w:rsidRPr="009109F0">
        <w:rPr>
          <w:rStyle w:val="Hyperlink"/>
          <w:sz w:val="16"/>
          <w:szCs w:val="16"/>
        </w:rPr>
        <w:t>http://europa.eu/rapid/press-release_IP-15-5442_en.htm</w:t>
      </w:r>
    </w:p>
  </w:footnote>
  <w:footnote w:id="43">
    <w:p w:rsidR="00E5067D" w:rsidRPr="003C1C42" w:rsidRDefault="00E5067D">
      <w:pPr>
        <w:pStyle w:val="FootnoteText"/>
        <w:rPr>
          <w:lang w:val="bg-BG"/>
        </w:rPr>
      </w:pPr>
      <w:r>
        <w:rPr>
          <w:rStyle w:val="FootnoteReference"/>
        </w:rPr>
        <w:footnoteRef/>
      </w:r>
      <w:r>
        <w:t xml:space="preserve"> </w:t>
      </w:r>
      <w:r w:rsidRPr="003C1C42">
        <w:rPr>
          <w:rStyle w:val="Hyperlink"/>
          <w:sz w:val="16"/>
          <w:szCs w:val="16"/>
        </w:rPr>
        <w:t>http://ec.europa.eu/competition/state_aid/public_services/reports_2012_2014_en.html</w:t>
      </w:r>
    </w:p>
  </w:footnote>
  <w:footnote w:id="44">
    <w:p w:rsidR="00E5067D" w:rsidRPr="00985056" w:rsidRDefault="00E5067D" w:rsidP="002F4B48">
      <w:pPr>
        <w:jc w:val="both"/>
        <w:rPr>
          <w:lang w:val="bg-BG"/>
        </w:rPr>
      </w:pPr>
      <w:r>
        <w:rPr>
          <w:rStyle w:val="FootnoteReference"/>
        </w:rPr>
        <w:footnoteRef/>
      </w:r>
      <w:r>
        <w:t xml:space="preserve"> </w:t>
      </w:r>
      <w:r w:rsidRPr="00985056">
        <w:rPr>
          <w:rStyle w:val="Hyperlink"/>
          <w:sz w:val="16"/>
          <w:szCs w:val="16"/>
        </w:rPr>
        <w:t>http://www.strategy.bg/PublicConsultations/View.aspx?lang=bg-BG&amp;Id=1822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D5"/>
    <w:multiLevelType w:val="hybridMultilevel"/>
    <w:tmpl w:val="D8B8A50A"/>
    <w:lvl w:ilvl="0" w:tplc="04020001">
      <w:start w:val="1"/>
      <w:numFmt w:val="bullet"/>
      <w:lvlText w:val=""/>
      <w:lvlJc w:val="left"/>
      <w:pPr>
        <w:ind w:left="1504" w:hanging="360"/>
      </w:pPr>
      <w:rPr>
        <w:rFonts w:ascii="Symbol" w:hAnsi="Symbol"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1">
    <w:nsid w:val="05E54FE3"/>
    <w:multiLevelType w:val="hybridMultilevel"/>
    <w:tmpl w:val="FABEF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1A3807"/>
    <w:multiLevelType w:val="hybridMultilevel"/>
    <w:tmpl w:val="6896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F1A88"/>
    <w:multiLevelType w:val="hybridMultilevel"/>
    <w:tmpl w:val="F6887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1C5B70"/>
    <w:multiLevelType w:val="hybridMultilevel"/>
    <w:tmpl w:val="339C52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94459F"/>
    <w:multiLevelType w:val="hybridMultilevel"/>
    <w:tmpl w:val="55646DC4"/>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6">
    <w:nsid w:val="149E246B"/>
    <w:multiLevelType w:val="hybridMultilevel"/>
    <w:tmpl w:val="CEA63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15E57A5"/>
    <w:multiLevelType w:val="hybridMultilevel"/>
    <w:tmpl w:val="5A6AF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4065619"/>
    <w:multiLevelType w:val="hybridMultilevel"/>
    <w:tmpl w:val="65CE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673FEF"/>
    <w:multiLevelType w:val="hybridMultilevel"/>
    <w:tmpl w:val="DBEA5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3E07D29"/>
    <w:multiLevelType w:val="hybridMultilevel"/>
    <w:tmpl w:val="AC48E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11A601E"/>
    <w:multiLevelType w:val="hybridMultilevel"/>
    <w:tmpl w:val="E61084B2"/>
    <w:lvl w:ilvl="0" w:tplc="F5D6BDE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2BA4572"/>
    <w:multiLevelType w:val="hybridMultilevel"/>
    <w:tmpl w:val="ED741ACE"/>
    <w:lvl w:ilvl="0" w:tplc="0402000F">
      <w:start w:val="1"/>
      <w:numFmt w:val="decimal"/>
      <w:lvlText w:val="%1."/>
      <w:lvlJc w:val="left"/>
      <w:pPr>
        <w:ind w:left="1647" w:hanging="360"/>
      </w:p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13">
    <w:nsid w:val="67E5049D"/>
    <w:multiLevelType w:val="hybridMultilevel"/>
    <w:tmpl w:val="C94263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8BF24DE"/>
    <w:multiLevelType w:val="hybridMultilevel"/>
    <w:tmpl w:val="A010F5FC"/>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nsid w:val="69663DE6"/>
    <w:multiLevelType w:val="hybridMultilevel"/>
    <w:tmpl w:val="B5805FE6"/>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6F944E63"/>
    <w:multiLevelType w:val="hybridMultilevel"/>
    <w:tmpl w:val="84EE1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4385252"/>
    <w:multiLevelType w:val="hybridMultilevel"/>
    <w:tmpl w:val="0E44835E"/>
    <w:lvl w:ilvl="0" w:tplc="31C852D6">
      <w:start w:val="1"/>
      <w:numFmt w:val="bullet"/>
      <w:lvlText w:val=""/>
      <w:lvlJc w:val="left"/>
      <w:pPr>
        <w:ind w:left="768" w:hanging="360"/>
      </w:pPr>
      <w:rPr>
        <w:rFonts w:ascii="Wingdings" w:hAnsi="Wingdings" w:hint="default"/>
        <w:color w:val="auto"/>
        <w:sz w:val="24"/>
        <w:szCs w:val="24"/>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18">
    <w:nsid w:val="7CEC45A1"/>
    <w:multiLevelType w:val="hybridMultilevel"/>
    <w:tmpl w:val="FE98A79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3"/>
  </w:num>
  <w:num w:numId="4">
    <w:abstractNumId w:val="15"/>
  </w:num>
  <w:num w:numId="5">
    <w:abstractNumId w:val="12"/>
  </w:num>
  <w:num w:numId="6">
    <w:abstractNumId w:val="14"/>
  </w:num>
  <w:num w:numId="7">
    <w:abstractNumId w:val="1"/>
  </w:num>
  <w:num w:numId="8">
    <w:abstractNumId w:val="10"/>
  </w:num>
  <w:num w:numId="9">
    <w:abstractNumId w:val="6"/>
  </w:num>
  <w:num w:numId="10">
    <w:abstractNumId w:val="2"/>
  </w:num>
  <w:num w:numId="11">
    <w:abstractNumId w:val="8"/>
  </w:num>
  <w:num w:numId="12">
    <w:abstractNumId w:val="13"/>
  </w:num>
  <w:num w:numId="13">
    <w:abstractNumId w:val="0"/>
  </w:num>
  <w:num w:numId="14">
    <w:abstractNumId w:val="5"/>
  </w:num>
  <w:num w:numId="15">
    <w:abstractNumId w:val="7"/>
  </w:num>
  <w:num w:numId="16">
    <w:abstractNumId w:val="9"/>
  </w:num>
  <w:num w:numId="17">
    <w:abstractNumId w:val="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D"/>
    <w:rsid w:val="000058CF"/>
    <w:rsid w:val="00012C0E"/>
    <w:rsid w:val="000151AA"/>
    <w:rsid w:val="00023FF2"/>
    <w:rsid w:val="00033130"/>
    <w:rsid w:val="0003511D"/>
    <w:rsid w:val="0003786D"/>
    <w:rsid w:val="00041153"/>
    <w:rsid w:val="000416A8"/>
    <w:rsid w:val="00043A83"/>
    <w:rsid w:val="00084573"/>
    <w:rsid w:val="000A3F80"/>
    <w:rsid w:val="000A611B"/>
    <w:rsid w:val="000A7D4C"/>
    <w:rsid w:val="000C07DF"/>
    <w:rsid w:val="000C154F"/>
    <w:rsid w:val="000C2648"/>
    <w:rsid w:val="000C61D1"/>
    <w:rsid w:val="000F3959"/>
    <w:rsid w:val="000F444B"/>
    <w:rsid w:val="0010307A"/>
    <w:rsid w:val="00103560"/>
    <w:rsid w:val="00106470"/>
    <w:rsid w:val="001148EC"/>
    <w:rsid w:val="001260A1"/>
    <w:rsid w:val="00130D5C"/>
    <w:rsid w:val="001356D7"/>
    <w:rsid w:val="00144B74"/>
    <w:rsid w:val="001611EA"/>
    <w:rsid w:val="001668D3"/>
    <w:rsid w:val="001675C8"/>
    <w:rsid w:val="001820CD"/>
    <w:rsid w:val="00194CE2"/>
    <w:rsid w:val="001A1ABA"/>
    <w:rsid w:val="001A35D8"/>
    <w:rsid w:val="001A3715"/>
    <w:rsid w:val="001A3AB1"/>
    <w:rsid w:val="001A7493"/>
    <w:rsid w:val="001B18FB"/>
    <w:rsid w:val="001B6FA6"/>
    <w:rsid w:val="001C1036"/>
    <w:rsid w:val="001C3C92"/>
    <w:rsid w:val="001E54D3"/>
    <w:rsid w:val="001E6F89"/>
    <w:rsid w:val="001F7BED"/>
    <w:rsid w:val="002031B1"/>
    <w:rsid w:val="00217E3E"/>
    <w:rsid w:val="002205B3"/>
    <w:rsid w:val="00221E6C"/>
    <w:rsid w:val="00223248"/>
    <w:rsid w:val="00223827"/>
    <w:rsid w:val="00223DF5"/>
    <w:rsid w:val="00226CF9"/>
    <w:rsid w:val="00233E83"/>
    <w:rsid w:val="00237BB3"/>
    <w:rsid w:val="002414F2"/>
    <w:rsid w:val="002436CF"/>
    <w:rsid w:val="00244E00"/>
    <w:rsid w:val="00252AF1"/>
    <w:rsid w:val="00254B9E"/>
    <w:rsid w:val="00272E8D"/>
    <w:rsid w:val="00274B65"/>
    <w:rsid w:val="00275D09"/>
    <w:rsid w:val="002803F3"/>
    <w:rsid w:val="00282C0B"/>
    <w:rsid w:val="0029002F"/>
    <w:rsid w:val="00293E64"/>
    <w:rsid w:val="00296E5D"/>
    <w:rsid w:val="002A075E"/>
    <w:rsid w:val="002B2F13"/>
    <w:rsid w:val="002B4B45"/>
    <w:rsid w:val="002C0757"/>
    <w:rsid w:val="002C5E57"/>
    <w:rsid w:val="002C6062"/>
    <w:rsid w:val="002D4676"/>
    <w:rsid w:val="002D78BA"/>
    <w:rsid w:val="002E11DB"/>
    <w:rsid w:val="002E2318"/>
    <w:rsid w:val="002E475B"/>
    <w:rsid w:val="002F4B48"/>
    <w:rsid w:val="00302420"/>
    <w:rsid w:val="00307D73"/>
    <w:rsid w:val="00312E7C"/>
    <w:rsid w:val="00315228"/>
    <w:rsid w:val="0034302E"/>
    <w:rsid w:val="00347BCE"/>
    <w:rsid w:val="003655C7"/>
    <w:rsid w:val="00366F2A"/>
    <w:rsid w:val="0039232C"/>
    <w:rsid w:val="00396AD9"/>
    <w:rsid w:val="003A40A8"/>
    <w:rsid w:val="003A5E77"/>
    <w:rsid w:val="003B1ECD"/>
    <w:rsid w:val="003C1C42"/>
    <w:rsid w:val="003C4E2B"/>
    <w:rsid w:val="003E2DAD"/>
    <w:rsid w:val="003F0430"/>
    <w:rsid w:val="003F1ED1"/>
    <w:rsid w:val="003F30E5"/>
    <w:rsid w:val="003F44A5"/>
    <w:rsid w:val="003F51FC"/>
    <w:rsid w:val="003F532F"/>
    <w:rsid w:val="003F65F3"/>
    <w:rsid w:val="00401ED6"/>
    <w:rsid w:val="00405B3D"/>
    <w:rsid w:val="00416881"/>
    <w:rsid w:val="00430ABF"/>
    <w:rsid w:val="0043205F"/>
    <w:rsid w:val="00432354"/>
    <w:rsid w:val="00433010"/>
    <w:rsid w:val="00436425"/>
    <w:rsid w:val="00441A03"/>
    <w:rsid w:val="00442E20"/>
    <w:rsid w:val="00444D53"/>
    <w:rsid w:val="00453E29"/>
    <w:rsid w:val="00454420"/>
    <w:rsid w:val="004627DA"/>
    <w:rsid w:val="0046454A"/>
    <w:rsid w:val="00470A6B"/>
    <w:rsid w:val="00471662"/>
    <w:rsid w:val="00483712"/>
    <w:rsid w:val="0048453A"/>
    <w:rsid w:val="004867F8"/>
    <w:rsid w:val="004900D0"/>
    <w:rsid w:val="0049293C"/>
    <w:rsid w:val="00492FD0"/>
    <w:rsid w:val="00496355"/>
    <w:rsid w:val="004A4C82"/>
    <w:rsid w:val="004B0998"/>
    <w:rsid w:val="004B197F"/>
    <w:rsid w:val="004C3079"/>
    <w:rsid w:val="004C34C8"/>
    <w:rsid w:val="004E59D9"/>
    <w:rsid w:val="004E6704"/>
    <w:rsid w:val="004F2C7A"/>
    <w:rsid w:val="004F379F"/>
    <w:rsid w:val="00502E8A"/>
    <w:rsid w:val="005071B8"/>
    <w:rsid w:val="0050793E"/>
    <w:rsid w:val="005136E9"/>
    <w:rsid w:val="0051404C"/>
    <w:rsid w:val="00515CF5"/>
    <w:rsid w:val="0051714C"/>
    <w:rsid w:val="00525711"/>
    <w:rsid w:val="005306BC"/>
    <w:rsid w:val="00544E70"/>
    <w:rsid w:val="00551C11"/>
    <w:rsid w:val="00552457"/>
    <w:rsid w:val="00556BCA"/>
    <w:rsid w:val="0055738A"/>
    <w:rsid w:val="0055742C"/>
    <w:rsid w:val="00585E7C"/>
    <w:rsid w:val="00596465"/>
    <w:rsid w:val="005A3A04"/>
    <w:rsid w:val="005A3F27"/>
    <w:rsid w:val="005B06E9"/>
    <w:rsid w:val="005B3F43"/>
    <w:rsid w:val="005C5A77"/>
    <w:rsid w:val="005D0349"/>
    <w:rsid w:val="005D2048"/>
    <w:rsid w:val="005D6D95"/>
    <w:rsid w:val="005E1EDF"/>
    <w:rsid w:val="005E21C9"/>
    <w:rsid w:val="005E53D3"/>
    <w:rsid w:val="005E5F13"/>
    <w:rsid w:val="005E719D"/>
    <w:rsid w:val="005F6FB8"/>
    <w:rsid w:val="0060052B"/>
    <w:rsid w:val="00606A46"/>
    <w:rsid w:val="00622C1F"/>
    <w:rsid w:val="00635EC4"/>
    <w:rsid w:val="0064722D"/>
    <w:rsid w:val="00647A1B"/>
    <w:rsid w:val="00661E4D"/>
    <w:rsid w:val="00661FB6"/>
    <w:rsid w:val="00666E0A"/>
    <w:rsid w:val="00667170"/>
    <w:rsid w:val="00671703"/>
    <w:rsid w:val="00672EED"/>
    <w:rsid w:val="00674A97"/>
    <w:rsid w:val="00675780"/>
    <w:rsid w:val="00676CCC"/>
    <w:rsid w:val="006770AA"/>
    <w:rsid w:val="00684BB5"/>
    <w:rsid w:val="0069052B"/>
    <w:rsid w:val="0069247B"/>
    <w:rsid w:val="00696B30"/>
    <w:rsid w:val="006A40AA"/>
    <w:rsid w:val="006A4736"/>
    <w:rsid w:val="006A5E2B"/>
    <w:rsid w:val="006A783A"/>
    <w:rsid w:val="006B2469"/>
    <w:rsid w:val="006B55ED"/>
    <w:rsid w:val="006B6315"/>
    <w:rsid w:val="006C3D75"/>
    <w:rsid w:val="006C787F"/>
    <w:rsid w:val="006D0CD4"/>
    <w:rsid w:val="006D29D3"/>
    <w:rsid w:val="006E70C0"/>
    <w:rsid w:val="006F3988"/>
    <w:rsid w:val="00704B8B"/>
    <w:rsid w:val="00704B90"/>
    <w:rsid w:val="0071027A"/>
    <w:rsid w:val="00713331"/>
    <w:rsid w:val="007202A8"/>
    <w:rsid w:val="00721344"/>
    <w:rsid w:val="00721DCC"/>
    <w:rsid w:val="00737D86"/>
    <w:rsid w:val="00741D0C"/>
    <w:rsid w:val="0076227A"/>
    <w:rsid w:val="00763384"/>
    <w:rsid w:val="00764E83"/>
    <w:rsid w:val="00766F27"/>
    <w:rsid w:val="007719F2"/>
    <w:rsid w:val="0077299F"/>
    <w:rsid w:val="00772F29"/>
    <w:rsid w:val="00790D61"/>
    <w:rsid w:val="007953C4"/>
    <w:rsid w:val="007A4C51"/>
    <w:rsid w:val="007B1D7F"/>
    <w:rsid w:val="007B6133"/>
    <w:rsid w:val="007C4468"/>
    <w:rsid w:val="007D3F51"/>
    <w:rsid w:val="007D4306"/>
    <w:rsid w:val="007F29EC"/>
    <w:rsid w:val="008007D2"/>
    <w:rsid w:val="008028DD"/>
    <w:rsid w:val="0081255B"/>
    <w:rsid w:val="00827996"/>
    <w:rsid w:val="008342C8"/>
    <w:rsid w:val="008450E3"/>
    <w:rsid w:val="00850A6F"/>
    <w:rsid w:val="00852329"/>
    <w:rsid w:val="008554D1"/>
    <w:rsid w:val="00863408"/>
    <w:rsid w:val="008648D0"/>
    <w:rsid w:val="0087039C"/>
    <w:rsid w:val="00873122"/>
    <w:rsid w:val="00874614"/>
    <w:rsid w:val="0088090E"/>
    <w:rsid w:val="00886587"/>
    <w:rsid w:val="00895AF8"/>
    <w:rsid w:val="008A060D"/>
    <w:rsid w:val="008A23CA"/>
    <w:rsid w:val="008B5D9B"/>
    <w:rsid w:val="008B7417"/>
    <w:rsid w:val="008E693E"/>
    <w:rsid w:val="009109F0"/>
    <w:rsid w:val="009136CA"/>
    <w:rsid w:val="00961BDC"/>
    <w:rsid w:val="00961F95"/>
    <w:rsid w:val="0096655D"/>
    <w:rsid w:val="00967C78"/>
    <w:rsid w:val="009732A7"/>
    <w:rsid w:val="0098276F"/>
    <w:rsid w:val="00985056"/>
    <w:rsid w:val="00985098"/>
    <w:rsid w:val="00992A52"/>
    <w:rsid w:val="00995618"/>
    <w:rsid w:val="009A1210"/>
    <w:rsid w:val="009A23A9"/>
    <w:rsid w:val="009A4EF0"/>
    <w:rsid w:val="009A58BD"/>
    <w:rsid w:val="009B1A95"/>
    <w:rsid w:val="009B2F90"/>
    <w:rsid w:val="009B64C9"/>
    <w:rsid w:val="009B78BB"/>
    <w:rsid w:val="009C131F"/>
    <w:rsid w:val="009C3E6D"/>
    <w:rsid w:val="009C59C5"/>
    <w:rsid w:val="009C6163"/>
    <w:rsid w:val="009D454E"/>
    <w:rsid w:val="009E1E13"/>
    <w:rsid w:val="009F01D2"/>
    <w:rsid w:val="009F0DB9"/>
    <w:rsid w:val="009F3D2E"/>
    <w:rsid w:val="009F46EF"/>
    <w:rsid w:val="009F6284"/>
    <w:rsid w:val="009F6878"/>
    <w:rsid w:val="00A00D02"/>
    <w:rsid w:val="00A1030D"/>
    <w:rsid w:val="00A124B7"/>
    <w:rsid w:val="00A12537"/>
    <w:rsid w:val="00A15D6F"/>
    <w:rsid w:val="00A207C6"/>
    <w:rsid w:val="00A25E74"/>
    <w:rsid w:val="00A26260"/>
    <w:rsid w:val="00A37330"/>
    <w:rsid w:val="00A41E14"/>
    <w:rsid w:val="00A42F28"/>
    <w:rsid w:val="00A433A7"/>
    <w:rsid w:val="00A523F8"/>
    <w:rsid w:val="00A5407C"/>
    <w:rsid w:val="00A559B7"/>
    <w:rsid w:val="00A60704"/>
    <w:rsid w:val="00A66122"/>
    <w:rsid w:val="00A74C35"/>
    <w:rsid w:val="00A82565"/>
    <w:rsid w:val="00A85FC0"/>
    <w:rsid w:val="00A965D4"/>
    <w:rsid w:val="00A967B3"/>
    <w:rsid w:val="00AA0114"/>
    <w:rsid w:val="00AA7C15"/>
    <w:rsid w:val="00AB15F2"/>
    <w:rsid w:val="00AB3D53"/>
    <w:rsid w:val="00AE2418"/>
    <w:rsid w:val="00B00251"/>
    <w:rsid w:val="00B051DE"/>
    <w:rsid w:val="00B058B2"/>
    <w:rsid w:val="00B11922"/>
    <w:rsid w:val="00B11A79"/>
    <w:rsid w:val="00B22B15"/>
    <w:rsid w:val="00B23553"/>
    <w:rsid w:val="00B33E8C"/>
    <w:rsid w:val="00B36B71"/>
    <w:rsid w:val="00B36DC5"/>
    <w:rsid w:val="00B42EFD"/>
    <w:rsid w:val="00B434AB"/>
    <w:rsid w:val="00B529EE"/>
    <w:rsid w:val="00B55FC0"/>
    <w:rsid w:val="00B561BA"/>
    <w:rsid w:val="00B6473C"/>
    <w:rsid w:val="00B66B33"/>
    <w:rsid w:val="00B70CC5"/>
    <w:rsid w:val="00B81308"/>
    <w:rsid w:val="00B83E31"/>
    <w:rsid w:val="00B84B38"/>
    <w:rsid w:val="00B8652D"/>
    <w:rsid w:val="00B94F8F"/>
    <w:rsid w:val="00B95E8D"/>
    <w:rsid w:val="00BA6AA4"/>
    <w:rsid w:val="00BC369A"/>
    <w:rsid w:val="00BC7312"/>
    <w:rsid w:val="00BE2686"/>
    <w:rsid w:val="00BE3890"/>
    <w:rsid w:val="00BF248E"/>
    <w:rsid w:val="00BF40B3"/>
    <w:rsid w:val="00C02B13"/>
    <w:rsid w:val="00C0313F"/>
    <w:rsid w:val="00C03B87"/>
    <w:rsid w:val="00C05816"/>
    <w:rsid w:val="00C10CC8"/>
    <w:rsid w:val="00C11CA8"/>
    <w:rsid w:val="00C160F6"/>
    <w:rsid w:val="00C326BE"/>
    <w:rsid w:val="00C36A02"/>
    <w:rsid w:val="00C43ECF"/>
    <w:rsid w:val="00C500DC"/>
    <w:rsid w:val="00C5534F"/>
    <w:rsid w:val="00C57156"/>
    <w:rsid w:val="00C63CE5"/>
    <w:rsid w:val="00C702E5"/>
    <w:rsid w:val="00C73903"/>
    <w:rsid w:val="00C84271"/>
    <w:rsid w:val="00C900C3"/>
    <w:rsid w:val="00C91E51"/>
    <w:rsid w:val="00C95476"/>
    <w:rsid w:val="00C9561F"/>
    <w:rsid w:val="00CA3615"/>
    <w:rsid w:val="00CB5171"/>
    <w:rsid w:val="00CC1C32"/>
    <w:rsid w:val="00CC4DD0"/>
    <w:rsid w:val="00CD07F8"/>
    <w:rsid w:val="00CD125E"/>
    <w:rsid w:val="00CD1384"/>
    <w:rsid w:val="00CE548F"/>
    <w:rsid w:val="00CE72CC"/>
    <w:rsid w:val="00CF7709"/>
    <w:rsid w:val="00D10EF5"/>
    <w:rsid w:val="00D11708"/>
    <w:rsid w:val="00D15619"/>
    <w:rsid w:val="00D3530B"/>
    <w:rsid w:val="00D36BF9"/>
    <w:rsid w:val="00D37714"/>
    <w:rsid w:val="00D37D52"/>
    <w:rsid w:val="00D44C82"/>
    <w:rsid w:val="00D624BD"/>
    <w:rsid w:val="00D6420E"/>
    <w:rsid w:val="00D84B17"/>
    <w:rsid w:val="00D9525C"/>
    <w:rsid w:val="00DA6938"/>
    <w:rsid w:val="00DB7437"/>
    <w:rsid w:val="00DB79A1"/>
    <w:rsid w:val="00DC0ABC"/>
    <w:rsid w:val="00DC65EC"/>
    <w:rsid w:val="00DD00AE"/>
    <w:rsid w:val="00DD7A6B"/>
    <w:rsid w:val="00DE19AC"/>
    <w:rsid w:val="00DF1929"/>
    <w:rsid w:val="00DF3C0D"/>
    <w:rsid w:val="00DF5470"/>
    <w:rsid w:val="00E10E43"/>
    <w:rsid w:val="00E16F09"/>
    <w:rsid w:val="00E231A6"/>
    <w:rsid w:val="00E239F6"/>
    <w:rsid w:val="00E23FA4"/>
    <w:rsid w:val="00E24F44"/>
    <w:rsid w:val="00E2630C"/>
    <w:rsid w:val="00E34E8E"/>
    <w:rsid w:val="00E44E85"/>
    <w:rsid w:val="00E5067D"/>
    <w:rsid w:val="00E5376C"/>
    <w:rsid w:val="00E54EFC"/>
    <w:rsid w:val="00E61855"/>
    <w:rsid w:val="00E627E3"/>
    <w:rsid w:val="00E634C6"/>
    <w:rsid w:val="00E6540F"/>
    <w:rsid w:val="00E81C8D"/>
    <w:rsid w:val="00E849E7"/>
    <w:rsid w:val="00E868AD"/>
    <w:rsid w:val="00E931DD"/>
    <w:rsid w:val="00EA59BB"/>
    <w:rsid w:val="00EA71FB"/>
    <w:rsid w:val="00EA793C"/>
    <w:rsid w:val="00EB0B3D"/>
    <w:rsid w:val="00EB4099"/>
    <w:rsid w:val="00EC0A34"/>
    <w:rsid w:val="00EC1A8B"/>
    <w:rsid w:val="00EC638E"/>
    <w:rsid w:val="00ED0450"/>
    <w:rsid w:val="00ED1E45"/>
    <w:rsid w:val="00ED5BA6"/>
    <w:rsid w:val="00EE0C42"/>
    <w:rsid w:val="00EE38A6"/>
    <w:rsid w:val="00EE53EA"/>
    <w:rsid w:val="00EE5E22"/>
    <w:rsid w:val="00EE5E6D"/>
    <w:rsid w:val="00EE7962"/>
    <w:rsid w:val="00EE7B8F"/>
    <w:rsid w:val="00F03BD2"/>
    <w:rsid w:val="00F1425D"/>
    <w:rsid w:val="00F1795C"/>
    <w:rsid w:val="00F224C2"/>
    <w:rsid w:val="00F228EC"/>
    <w:rsid w:val="00F27442"/>
    <w:rsid w:val="00F33206"/>
    <w:rsid w:val="00F553D4"/>
    <w:rsid w:val="00F5791A"/>
    <w:rsid w:val="00F62660"/>
    <w:rsid w:val="00F63422"/>
    <w:rsid w:val="00F80599"/>
    <w:rsid w:val="00F81382"/>
    <w:rsid w:val="00F85E88"/>
    <w:rsid w:val="00F86EE2"/>
    <w:rsid w:val="00F90F29"/>
    <w:rsid w:val="00F93941"/>
    <w:rsid w:val="00FA0EED"/>
    <w:rsid w:val="00FA6A64"/>
    <w:rsid w:val="00FA7855"/>
    <w:rsid w:val="00FB0DA1"/>
    <w:rsid w:val="00FB22B2"/>
    <w:rsid w:val="00FB401D"/>
    <w:rsid w:val="00FB72EB"/>
    <w:rsid w:val="00FC78D4"/>
    <w:rsid w:val="00FD21C8"/>
    <w:rsid w:val="00FD2DB1"/>
    <w:rsid w:val="00FE3148"/>
    <w:rsid w:val="00FE37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basedOn w:val="Normal"/>
    <w:link w:val="HeaderChar"/>
    <w:uiPriority w:val="99"/>
    <w:unhideWhenUsed/>
    <w:rsid w:val="00772F29"/>
    <w:pPr>
      <w:tabs>
        <w:tab w:val="center" w:pos="4536"/>
        <w:tab w:val="right" w:pos="9072"/>
      </w:tabs>
    </w:pPr>
  </w:style>
  <w:style w:type="character" w:customStyle="1" w:styleId="HeaderChar">
    <w:name w:val="Header Char"/>
    <w:basedOn w:val="DefaultParagraphFont"/>
    <w:link w:val="Header"/>
    <w:uiPriority w:val="99"/>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iPriority w:val="99"/>
    <w:semiHidden/>
    <w:unhideWhenUsed/>
    <w:rsid w:val="00D10EF5"/>
  </w:style>
  <w:style w:type="character" w:customStyle="1" w:styleId="FootnoteTextChar">
    <w:name w:val="Footnote Text Char"/>
    <w:basedOn w:val="DefaultParagraphFont"/>
    <w:link w:val="FootnoteText"/>
    <w:uiPriority w:val="99"/>
    <w:semiHidden/>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iPriority w:val="99"/>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uiPriority w:val="99"/>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basedOn w:val="Normal"/>
    <w:link w:val="HeaderChar"/>
    <w:uiPriority w:val="99"/>
    <w:unhideWhenUsed/>
    <w:rsid w:val="00772F29"/>
    <w:pPr>
      <w:tabs>
        <w:tab w:val="center" w:pos="4536"/>
        <w:tab w:val="right" w:pos="9072"/>
      </w:tabs>
    </w:pPr>
  </w:style>
  <w:style w:type="character" w:customStyle="1" w:styleId="HeaderChar">
    <w:name w:val="Header Char"/>
    <w:basedOn w:val="DefaultParagraphFont"/>
    <w:link w:val="Header"/>
    <w:uiPriority w:val="99"/>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iPriority w:val="99"/>
    <w:semiHidden/>
    <w:unhideWhenUsed/>
    <w:rsid w:val="00D10EF5"/>
  </w:style>
  <w:style w:type="character" w:customStyle="1" w:styleId="FootnoteTextChar">
    <w:name w:val="Footnote Text Char"/>
    <w:basedOn w:val="DefaultParagraphFont"/>
    <w:link w:val="FootnoteText"/>
    <w:uiPriority w:val="99"/>
    <w:semiHidden/>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iPriority w:val="99"/>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uiPriority w:val="99"/>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763570149">
      <w:bodyDiv w:val="1"/>
      <w:marLeft w:val="0"/>
      <w:marRight w:val="0"/>
      <w:marTop w:val="0"/>
      <w:marBottom w:val="0"/>
      <w:divBdr>
        <w:top w:val="none" w:sz="0" w:space="0" w:color="auto"/>
        <w:left w:val="none" w:sz="0" w:space="0" w:color="auto"/>
        <w:bottom w:val="none" w:sz="0" w:space="0" w:color="auto"/>
        <w:right w:val="none" w:sz="0" w:space="0" w:color="auto"/>
      </w:divBdr>
    </w:div>
    <w:div w:id="1155342312">
      <w:bodyDiv w:val="1"/>
      <w:marLeft w:val="0"/>
      <w:marRight w:val="0"/>
      <w:marTop w:val="0"/>
      <w:marBottom w:val="0"/>
      <w:divBdr>
        <w:top w:val="none" w:sz="0" w:space="0" w:color="auto"/>
        <w:left w:val="none" w:sz="0" w:space="0" w:color="auto"/>
        <w:bottom w:val="none" w:sz="0" w:space="0" w:color="auto"/>
        <w:right w:val="none" w:sz="0" w:space="0" w:color="auto"/>
      </w:divBdr>
    </w:div>
    <w:div w:id="1331910713">
      <w:bodyDiv w:val="1"/>
      <w:marLeft w:val="0"/>
      <w:marRight w:val="0"/>
      <w:marTop w:val="0"/>
      <w:marBottom w:val="0"/>
      <w:divBdr>
        <w:top w:val="none" w:sz="0" w:space="0" w:color="auto"/>
        <w:left w:val="none" w:sz="0" w:space="0" w:color="auto"/>
        <w:bottom w:val="none" w:sz="0" w:space="0" w:color="auto"/>
        <w:right w:val="none" w:sz="0" w:space="0" w:color="auto"/>
      </w:divBdr>
    </w:div>
    <w:div w:id="1355184492">
      <w:bodyDiv w:val="1"/>
      <w:marLeft w:val="0"/>
      <w:marRight w:val="0"/>
      <w:marTop w:val="0"/>
      <w:marBottom w:val="0"/>
      <w:divBdr>
        <w:top w:val="none" w:sz="0" w:space="0" w:color="auto"/>
        <w:left w:val="none" w:sz="0" w:space="0" w:color="auto"/>
        <w:bottom w:val="none" w:sz="0" w:space="0" w:color="auto"/>
        <w:right w:val="none" w:sz="0" w:space="0" w:color="auto"/>
      </w:divBdr>
      <w:divsChild>
        <w:div w:id="1170212776">
          <w:marLeft w:val="0"/>
          <w:marRight w:val="0"/>
          <w:marTop w:val="0"/>
          <w:marBottom w:val="0"/>
          <w:divBdr>
            <w:top w:val="none" w:sz="0" w:space="0" w:color="auto"/>
            <w:left w:val="none" w:sz="0" w:space="0" w:color="auto"/>
            <w:bottom w:val="none" w:sz="0" w:space="0" w:color="auto"/>
            <w:right w:val="none" w:sz="0" w:space="0" w:color="auto"/>
          </w:divBdr>
          <w:divsChild>
            <w:div w:id="1800488530">
              <w:marLeft w:val="0"/>
              <w:marRight w:val="0"/>
              <w:marTop w:val="0"/>
              <w:marBottom w:val="0"/>
              <w:divBdr>
                <w:top w:val="none" w:sz="0" w:space="0" w:color="auto"/>
                <w:left w:val="none" w:sz="0" w:space="0" w:color="auto"/>
                <w:bottom w:val="none" w:sz="0" w:space="0" w:color="auto"/>
                <w:right w:val="none" w:sz="0" w:space="0" w:color="auto"/>
              </w:divBdr>
              <w:divsChild>
                <w:div w:id="1108350743">
                  <w:marLeft w:val="0"/>
                  <w:marRight w:val="0"/>
                  <w:marTop w:val="0"/>
                  <w:marBottom w:val="0"/>
                  <w:divBdr>
                    <w:top w:val="none" w:sz="0" w:space="0" w:color="auto"/>
                    <w:left w:val="none" w:sz="0" w:space="0" w:color="auto"/>
                    <w:bottom w:val="none" w:sz="0" w:space="0" w:color="auto"/>
                    <w:right w:val="none" w:sz="0" w:space="0" w:color="auto"/>
                  </w:divBdr>
                  <w:divsChild>
                    <w:div w:id="585840679">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1998073056">
                              <w:marLeft w:val="0"/>
                              <w:marRight w:val="0"/>
                              <w:marTop w:val="0"/>
                              <w:marBottom w:val="0"/>
                              <w:divBdr>
                                <w:top w:val="none" w:sz="0" w:space="0" w:color="auto"/>
                                <w:left w:val="none" w:sz="0" w:space="0" w:color="auto"/>
                                <w:bottom w:val="none" w:sz="0" w:space="0" w:color="auto"/>
                                <w:right w:val="none" w:sz="0" w:space="0" w:color="auto"/>
                              </w:divBdr>
                              <w:divsChild>
                                <w:div w:id="169951643">
                                  <w:marLeft w:val="0"/>
                                  <w:marRight w:val="0"/>
                                  <w:marTop w:val="0"/>
                                  <w:marBottom w:val="0"/>
                                  <w:divBdr>
                                    <w:top w:val="none" w:sz="0" w:space="0" w:color="auto"/>
                                    <w:left w:val="none" w:sz="0" w:space="0" w:color="auto"/>
                                    <w:bottom w:val="none" w:sz="0" w:space="0" w:color="auto"/>
                                    <w:right w:val="none" w:sz="0" w:space="0" w:color="auto"/>
                                  </w:divBdr>
                                  <w:divsChild>
                                    <w:div w:id="1888955138">
                                      <w:marLeft w:val="60"/>
                                      <w:marRight w:val="0"/>
                                      <w:marTop w:val="0"/>
                                      <w:marBottom w:val="0"/>
                                      <w:divBdr>
                                        <w:top w:val="none" w:sz="0" w:space="0" w:color="auto"/>
                                        <w:left w:val="none" w:sz="0" w:space="0" w:color="auto"/>
                                        <w:bottom w:val="none" w:sz="0" w:space="0" w:color="auto"/>
                                        <w:right w:val="none" w:sz="0" w:space="0" w:color="auto"/>
                                      </w:divBdr>
                                      <w:divsChild>
                                        <w:div w:id="242107006">
                                          <w:marLeft w:val="0"/>
                                          <w:marRight w:val="0"/>
                                          <w:marTop w:val="0"/>
                                          <w:marBottom w:val="0"/>
                                          <w:divBdr>
                                            <w:top w:val="none" w:sz="0" w:space="0" w:color="auto"/>
                                            <w:left w:val="none" w:sz="0" w:space="0" w:color="auto"/>
                                            <w:bottom w:val="none" w:sz="0" w:space="0" w:color="auto"/>
                                            <w:right w:val="none" w:sz="0" w:space="0" w:color="auto"/>
                                          </w:divBdr>
                                          <w:divsChild>
                                            <w:div w:id="262569529">
                                              <w:marLeft w:val="0"/>
                                              <w:marRight w:val="0"/>
                                              <w:marTop w:val="0"/>
                                              <w:marBottom w:val="120"/>
                                              <w:divBdr>
                                                <w:top w:val="single" w:sz="6" w:space="0" w:color="F5F5F5"/>
                                                <w:left w:val="single" w:sz="6" w:space="0" w:color="F5F5F5"/>
                                                <w:bottom w:val="single" w:sz="6" w:space="0" w:color="F5F5F5"/>
                                                <w:right w:val="single" w:sz="6" w:space="0" w:color="F5F5F5"/>
                                              </w:divBdr>
                                              <w:divsChild>
                                                <w:div w:id="1441610698">
                                                  <w:marLeft w:val="0"/>
                                                  <w:marRight w:val="0"/>
                                                  <w:marTop w:val="0"/>
                                                  <w:marBottom w:val="0"/>
                                                  <w:divBdr>
                                                    <w:top w:val="none" w:sz="0" w:space="0" w:color="auto"/>
                                                    <w:left w:val="none" w:sz="0" w:space="0" w:color="auto"/>
                                                    <w:bottom w:val="none" w:sz="0" w:space="0" w:color="auto"/>
                                                    <w:right w:val="none" w:sz="0" w:space="0" w:color="auto"/>
                                                  </w:divBdr>
                                                  <w:divsChild>
                                                    <w:div w:id="1034039265">
                                                      <w:marLeft w:val="0"/>
                                                      <w:marRight w:val="0"/>
                                                      <w:marTop w:val="0"/>
                                                      <w:marBottom w:val="0"/>
                                                      <w:divBdr>
                                                        <w:top w:val="none" w:sz="0" w:space="0" w:color="auto"/>
                                                        <w:left w:val="none" w:sz="0" w:space="0" w:color="auto"/>
                                                        <w:bottom w:val="none" w:sz="0" w:space="0" w:color="auto"/>
                                                        <w:right w:val="none" w:sz="0" w:space="0" w:color="auto"/>
                                                      </w:divBdr>
                                                    </w:div>
                                                  </w:divsChild>
                                                </w:div>
                                                <w:div w:id="1463959150">
                                                  <w:marLeft w:val="0"/>
                                                  <w:marRight w:val="0"/>
                                                  <w:marTop w:val="0"/>
                                                  <w:marBottom w:val="0"/>
                                                  <w:divBdr>
                                                    <w:top w:val="none" w:sz="0" w:space="0" w:color="auto"/>
                                                    <w:left w:val="none" w:sz="0" w:space="0" w:color="auto"/>
                                                    <w:bottom w:val="none" w:sz="0" w:space="0" w:color="auto"/>
                                                    <w:right w:val="none" w:sz="0" w:space="0" w:color="auto"/>
                                                  </w:divBdr>
                                                  <w:divsChild>
                                                    <w:div w:id="153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elojade/isef/case_details.cfm?proc_code=3_SA_39177" TargetMode="External"/><Relationship Id="rId13" Type="http://schemas.openxmlformats.org/officeDocument/2006/relationships/hyperlink" Target="http://ec.europa.eu/competition/elojade/isef/case_details.cfm?proc_code=3_SA_39869" TargetMode="External"/><Relationship Id="rId18" Type="http://schemas.openxmlformats.org/officeDocument/2006/relationships/hyperlink" Target="http://curia.europa.eu/juris/liste.jsf?language=en&amp;td=ALL&amp;num=C-367/14" TargetMode="External"/><Relationship Id="rId3" Type="http://schemas.openxmlformats.org/officeDocument/2006/relationships/hyperlink" Target="http://ec.europa.eu/competition/elojade/isef/case_details.cfm?proc_code=3_SA_41373" TargetMode="External"/><Relationship Id="rId21" Type="http://schemas.openxmlformats.org/officeDocument/2006/relationships/hyperlink" Target="http://curia.europa.eu/juris/liste.jsf?language=en&amp;td=ALL&amp;num=T-125/12" TargetMode="External"/><Relationship Id="rId7" Type="http://schemas.openxmlformats.org/officeDocument/2006/relationships/hyperlink" Target="http://ec.europa.eu/competition/elojade/isef/case_details.cfm?proc_code=3_SA_39962" TargetMode="External"/><Relationship Id="rId12" Type="http://schemas.openxmlformats.org/officeDocument/2006/relationships/hyperlink" Target="http://ec.europa.eu/competition/elojade/isef/case_details.cfm?proc_code=3_SA_42388" TargetMode="External"/><Relationship Id="rId17" Type="http://schemas.openxmlformats.org/officeDocument/2006/relationships/hyperlink" Target="http://curia.europa.eu/juris/liste.jsf?language=en&amp;td=ALL&amp;num=C-33/14%20P" TargetMode="External"/><Relationship Id="rId25" Type="http://schemas.openxmlformats.org/officeDocument/2006/relationships/hyperlink" Target="http://seminars.eipa.eu/en/activities09/show/&amp;tid=5707" TargetMode="External"/><Relationship Id="rId2" Type="http://schemas.openxmlformats.org/officeDocument/2006/relationships/hyperlink" Target="http://stateaid.minfin.bg/bg/page/6" TargetMode="External"/><Relationship Id="rId16" Type="http://schemas.openxmlformats.org/officeDocument/2006/relationships/hyperlink" Target="http://curia.europa.eu/juris/liste.jsf?language=en&amp;td=ALL&amp;num=C-89/14" TargetMode="External"/><Relationship Id="rId20" Type="http://schemas.openxmlformats.org/officeDocument/2006/relationships/hyperlink" Target="http://curia.europa.eu/juris/liste.jsf?language=en&amp;td=ALL&amp;num=T-421/07%20RENV" TargetMode="External"/><Relationship Id="rId1" Type="http://schemas.openxmlformats.org/officeDocument/2006/relationships/hyperlink" Target="http://ec.europa.eu/competition/state_aid/legislation/legislation.html" TargetMode="External"/><Relationship Id="rId6" Type="http://schemas.openxmlformats.org/officeDocument/2006/relationships/hyperlink" Target="http://ec.europa.eu/competition/elojade/isef/case_details.cfm?proc_code=3_SA_39466" TargetMode="External"/><Relationship Id="rId11" Type="http://schemas.openxmlformats.org/officeDocument/2006/relationships/hyperlink" Target="http://ec.europa.eu/competition/elojade/isef/case_details.cfm?proc_code=3_SA_38336" TargetMode="External"/><Relationship Id="rId24" Type="http://schemas.openxmlformats.org/officeDocument/2006/relationships/hyperlink" Target="http://www.lexxion.de/de/verlagsprogramm-konferenzen/state-aid-law/european-conference-state-aid-a-control-of-esi-funds.html" TargetMode="External"/><Relationship Id="rId5" Type="http://schemas.openxmlformats.org/officeDocument/2006/relationships/hyperlink" Target="http://ec.europa.eu/competition/elojade/isef/case_details.cfm?proc_code=3_SA_40836" TargetMode="External"/><Relationship Id="rId15" Type="http://schemas.openxmlformats.org/officeDocument/2006/relationships/hyperlink" Target="http://ec.europa.eu/competition/elojade/isef/case_details.cfm?proc_code=3_SA_40266" TargetMode="External"/><Relationship Id="rId23" Type="http://schemas.openxmlformats.org/officeDocument/2006/relationships/hyperlink" Target="http://www.lexxion.eu/training/state-aid/essentials-berlin" TargetMode="External"/><Relationship Id="rId10" Type="http://schemas.openxmlformats.org/officeDocument/2006/relationships/hyperlink" Target="http://ec.europa.eu/competition/elojade/isef/case_details.cfm?proc_code=3_SA_38406" TargetMode="External"/><Relationship Id="rId19" Type="http://schemas.openxmlformats.org/officeDocument/2006/relationships/hyperlink" Target="http://curia.europa.eu/juris/liste.jsf?language=en&amp;td=ALL&amp;num=T-1/08%20INTP" TargetMode="External"/><Relationship Id="rId4" Type="http://schemas.openxmlformats.org/officeDocument/2006/relationships/hyperlink" Target="http://ec.europa.eu/competition/elojade/isef/case_details.cfm?proc_code=3_SA_41939" TargetMode="External"/><Relationship Id="rId9" Type="http://schemas.openxmlformats.org/officeDocument/2006/relationships/hyperlink" Target="http://ec.europa.eu/competition/elojade/isef/case_details.cfm?proc_code=3_SA_42424" TargetMode="External"/><Relationship Id="rId14" Type="http://schemas.openxmlformats.org/officeDocument/2006/relationships/hyperlink" Target="http://ec.europa.eu/competition/elojade/isef/case_details.cfm?proc_code=3_SA_41620" TargetMode="External"/><Relationship Id="rId22" Type="http://schemas.openxmlformats.org/officeDocument/2006/relationships/hyperlink" Target="http://curia.europa.eu/juris/liste.jsf?language=en&amp;td=ALL&amp;num=T-67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3529-64FE-4CAF-8419-3A7846F7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Ивелина Кирилова</cp:lastModifiedBy>
  <cp:revision>2</cp:revision>
  <cp:lastPrinted>2015-04-20T08:07:00Z</cp:lastPrinted>
  <dcterms:created xsi:type="dcterms:W3CDTF">2015-09-30T06:49:00Z</dcterms:created>
  <dcterms:modified xsi:type="dcterms:W3CDTF">2015-09-30T06:49:00Z</dcterms:modified>
</cp:coreProperties>
</file>