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A6" w:rsidRPr="00377C0C" w:rsidRDefault="00E26CA6" w:rsidP="00E26CA6">
      <w:pPr>
        <w:pStyle w:val="Standard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6CA6" w:rsidRPr="00377C0C" w:rsidRDefault="0021285F" w:rsidP="00E26CA6">
      <w:pPr>
        <w:pStyle w:val="Standard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-338455</wp:posOffset>
                </wp:positionV>
                <wp:extent cx="5920740" cy="1429385"/>
                <wp:effectExtent l="0" t="0" r="3810" b="1651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074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325" w:type="dxa"/>
                              <w:tblInd w:w="-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8"/>
                              <w:gridCol w:w="6817"/>
                            </w:tblGrid>
                            <w:tr w:rsidR="008A0DA5">
                              <w:trPr>
                                <w:trHeight w:val="688"/>
                              </w:trPr>
                              <w:tc>
                                <w:tcPr>
                                  <w:tcW w:w="250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26CA6" w:rsidRPr="00377C0C" w:rsidRDefault="0021285F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371600" cy="666750"/>
                                        <wp:effectExtent l="0" t="0" r="0" b="0"/>
                                        <wp:docPr id="2" name="graphics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phics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81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26CA6" w:rsidRPr="00377C0C" w:rsidRDefault="00E26CA6">
                                  <w:pPr>
                                    <w:pStyle w:val="ZCom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6CA6" w:rsidRPr="00377C0C" w:rsidRDefault="00E26CA6">
                                  <w:pPr>
                                    <w:pStyle w:val="ZCom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ЕВРОПЕЙСКА КОМИСИЯ</w:t>
                                  </w:r>
                                </w:p>
                                <w:p w:rsidR="00E26CA6" w:rsidRPr="00377C0C" w:rsidRDefault="00E26CA6">
                                  <w:pPr>
                                    <w:pStyle w:val="ZDGName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ГД „Конкуренция“</w:t>
                                  </w:r>
                                </w:p>
                                <w:p w:rsidR="00E26CA6" w:rsidRPr="00377C0C" w:rsidRDefault="00E26CA6">
                                  <w:pPr>
                                    <w:pStyle w:val="ZDGName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A0DA5">
                              <w:trPr>
                                <w:trHeight w:val="688"/>
                              </w:trPr>
                              <w:tc>
                                <w:tcPr>
                                  <w:tcW w:w="2508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26CA6" w:rsidRPr="00377C0C" w:rsidRDefault="00E26CA6">
                                  <w:pPr>
                                    <w:pStyle w:val="Standard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E26CA6" w:rsidRPr="00377C0C" w:rsidRDefault="00E26CA6">
                                  <w:pPr>
                                    <w:pStyle w:val="ZCom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6CA6" w:rsidRPr="00377C0C" w:rsidRDefault="00E26CA6" w:rsidP="00E26CA6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-26.65pt;width:466.2pt;height:112.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" filled="f" stroked="f">
                <v:path arrowok="t"/>
                <v:textbox style="mso-fit-shape-to-text:t" inset="0,0,0,0">
                  <w:txbxContent>
                    <w:tbl>
                      <w:tblPr>
                        <w:tblW w:w="9325" w:type="dxa"/>
                        <w:tblInd w:w="-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8"/>
                        <w:gridCol w:w="6817"/>
                      </w:tblGrid>
                      <w:tr w:rsidR="008A0DA5">
                        <w:trPr>
                          <w:trHeight w:val="688"/>
                        </w:trPr>
                        <w:tc>
                          <w:tcPr>
                            <w:tcW w:w="250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26CA6" w:rsidRPr="00377C0C" w:rsidRDefault="0021285F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71600" cy="666750"/>
                                  <wp:effectExtent l="0" t="0" r="0" b="0"/>
                                  <wp:docPr id="2" name="graphics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phics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81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26CA6" w:rsidRPr="00377C0C" w:rsidRDefault="00E26CA6">
                            <w:pPr>
                              <w:pStyle w:val="ZCom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6CA6" w:rsidRPr="00377C0C" w:rsidRDefault="00E26CA6">
                            <w:pPr>
                              <w:pStyle w:val="ZCo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ЕВРОПЕЙСКА КОМИСИЯ</w:t>
                            </w:r>
                          </w:p>
                          <w:p w:rsidR="00E26CA6" w:rsidRPr="00377C0C" w:rsidRDefault="00E26CA6">
                            <w:pPr>
                              <w:pStyle w:val="ZDGName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ГД „Конкуренция“</w:t>
                            </w:r>
                          </w:p>
                          <w:p w:rsidR="00E26CA6" w:rsidRPr="00377C0C" w:rsidRDefault="00E26CA6">
                            <w:pPr>
                              <w:pStyle w:val="ZDGName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A0DA5">
                        <w:trPr>
                          <w:trHeight w:val="688"/>
                        </w:trPr>
                        <w:tc>
                          <w:tcPr>
                            <w:tcW w:w="2508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26CA6" w:rsidRPr="00377C0C" w:rsidRDefault="00E26CA6">
                            <w:pPr>
                              <w:pStyle w:val="Standard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1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E26CA6" w:rsidRPr="00377C0C" w:rsidRDefault="00E26CA6">
                            <w:pPr>
                              <w:pStyle w:val="ZCom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26CA6" w:rsidRPr="00377C0C" w:rsidRDefault="00E26CA6" w:rsidP="00E26CA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6CA6">
        <w:rPr>
          <w:rFonts w:ascii="Times New Roman" w:hAnsi="Times New Roman"/>
          <w:sz w:val="24"/>
        </w:rPr>
        <w:t>Брюксел, 25 ноември 2016 г.</w:t>
      </w:r>
    </w:p>
    <w:p w:rsidR="00E26CA6" w:rsidRPr="00377C0C" w:rsidRDefault="00E26CA6" w:rsidP="00E26CA6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Консултационен документ</w:t>
      </w:r>
    </w:p>
    <w:p w:rsidR="00DE711C" w:rsidRPr="00377C0C" w:rsidRDefault="00DE711C" w:rsidP="00DE711C">
      <w:pPr>
        <w:pStyle w:val="Text1"/>
        <w:spacing w:after="0"/>
        <w:jc w:val="center"/>
        <w:rPr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</w:rPr>
        <w:t xml:space="preserve">Преглед на </w:t>
      </w:r>
      <w:r>
        <w:rPr>
          <w:b/>
          <w:smallCaps/>
          <w:sz w:val="28"/>
        </w:rPr>
        <w:t>Кодекса на най-добри практики при провеждане на процедури за контрол на държавните помощи</w:t>
      </w:r>
    </w:p>
    <w:p w:rsidR="00683BE4" w:rsidRPr="00377C0C" w:rsidRDefault="00683BE4" w:rsidP="00DE711C">
      <w:pPr>
        <w:pStyle w:val="Text1"/>
        <w:spacing w:after="0"/>
        <w:jc w:val="center"/>
        <w:rPr>
          <w:b/>
          <w:smallCaps/>
          <w:sz w:val="28"/>
          <w:szCs w:val="28"/>
        </w:rPr>
      </w:pPr>
    </w:p>
    <w:p w:rsidR="00683BE4" w:rsidRPr="00377C0C" w:rsidRDefault="00683BE4" w:rsidP="00DE711C">
      <w:pPr>
        <w:pStyle w:val="Text1"/>
        <w:spacing w:after="0"/>
        <w:jc w:val="center"/>
        <w:rPr>
          <w:b/>
          <w:smallCaps/>
          <w:sz w:val="28"/>
          <w:szCs w:val="28"/>
        </w:rPr>
      </w:pPr>
    </w:p>
    <w:p w:rsidR="00E26CA6" w:rsidRPr="00377C0C" w:rsidRDefault="00E26CA6" w:rsidP="00E26CA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</w:pPr>
      <w:r>
        <w:rPr>
          <w:rFonts w:ascii="Times New Roman" w:hAnsi="Times New Roman"/>
          <w:sz w:val="24"/>
        </w:rPr>
        <w:t xml:space="preserve">Настоящата консултация цели да проучи становищата на </w:t>
      </w:r>
      <w:r>
        <w:rPr>
          <w:rFonts w:ascii="Times New Roman" w:hAnsi="Times New Roman"/>
          <w:b/>
          <w:sz w:val="24"/>
        </w:rPr>
        <w:t xml:space="preserve">държавите членки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b/>
          <w:sz w:val="24"/>
        </w:rPr>
        <w:t xml:space="preserve"> заинтересованите страни</w:t>
      </w:r>
      <w:r>
        <w:rPr>
          <w:rFonts w:ascii="Times New Roman" w:hAnsi="Times New Roman"/>
          <w:sz w:val="24"/>
        </w:rPr>
        <w:t xml:space="preserve"> относно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прилагането на</w:t>
      </w:r>
      <w:r>
        <w:rPr>
          <w:rFonts w:ascii="Times New Roman" w:hAnsi="Times New Roman"/>
          <w:b/>
          <w:sz w:val="24"/>
        </w:rPr>
        <w:t xml:space="preserve"> Известието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 Комисията</w:t>
      </w:r>
      <w:r>
        <w:rPr>
          <w:rFonts w:ascii="Times New Roman" w:hAnsi="Times New Roman"/>
          <w:sz w:val="24"/>
        </w:rPr>
        <w:t xml:space="preserve"> относно</w:t>
      </w:r>
      <w:hyperlink r:id="rId10">
        <w:r>
          <w:rPr>
            <w:rFonts w:ascii="Times New Roman" w:hAnsi="Times New Roman"/>
            <w:noProof/>
            <w:sz w:val="24"/>
          </w:rPr>
          <w:t xml:space="preserve"> Кодекс на най-добри практики при провеждане на процедури за контрол на държавните помощи</w:t>
        </w:r>
      </w:hyperlink>
      <w:r>
        <w:rPr>
          <w:rStyle w:val="FootnoteReference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>(наричан по-нататък „Кодексът“).</w:t>
      </w:r>
    </w:p>
    <w:p w:rsidR="001E7004" w:rsidRDefault="001E7004" w:rsidP="00DC3F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FCB" w:rsidRDefault="00E26CA6" w:rsidP="00DC3F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Получените отговори ще бъдат включени в прегледа, посочен в параграф 57 на Кодекса. </w:t>
      </w:r>
    </w:p>
    <w:p w:rsidR="007B6308" w:rsidRDefault="007B6308" w:rsidP="00DC3F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Всички граждани и организации могат да участват в настоящата консултация. Особено ни интересуват коментари и предложения от страна на: държавите членки и заинтересовани страни по въпросите на процедурите, свързани с държавните помощи, включително национални, регионални и местни органи, съдилища, сметни палати, </w:t>
      </w:r>
      <w:proofErr w:type="spellStart"/>
      <w:r>
        <w:rPr>
          <w:rFonts w:ascii="Times New Roman" w:hAnsi="Times New Roman"/>
          <w:sz w:val="24"/>
        </w:rPr>
        <w:t>бенефициери</w:t>
      </w:r>
      <w:proofErr w:type="spellEnd"/>
      <w:r>
        <w:rPr>
          <w:rFonts w:ascii="Times New Roman" w:hAnsi="Times New Roman"/>
          <w:sz w:val="24"/>
        </w:rPr>
        <w:t xml:space="preserve"> на помощта, жалбоподатели, търговски и стопански асоциации, правната и предприемаческата общност и т.н.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1E7004" w:rsidRPr="00377C0C" w:rsidRDefault="001E7004" w:rsidP="00DC3F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6CA6" w:rsidRPr="00377C0C" w:rsidRDefault="00E26CA6" w:rsidP="00DC3FC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Комисията приканва държавите членки и заинтересованите страни да изпратят, за предпочитане по електронна поща, своите отговори на генерална дирекция „Конкуренция“ (наричана по-нататък ГД „Конкуренция“) до </w:t>
      </w:r>
      <w:r>
        <w:rPr>
          <w:rFonts w:ascii="Times New Roman" w:hAnsi="Times New Roman"/>
          <w:b/>
          <w:sz w:val="24"/>
        </w:rPr>
        <w:t>25 февруари 2017 г</w:t>
      </w:r>
      <w:r>
        <w:rPr>
          <w:rFonts w:ascii="Times New Roman" w:hAnsi="Times New Roman"/>
          <w:sz w:val="24"/>
        </w:rPr>
        <w:t>.</w:t>
      </w:r>
    </w:p>
    <w:p w:rsidR="00DC3FCB" w:rsidRPr="00377C0C" w:rsidRDefault="00DC3FCB" w:rsidP="00E26CA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CA6" w:rsidRPr="00377C0C" w:rsidRDefault="00E26CA6" w:rsidP="001D2417">
      <w:pPr>
        <w:pStyle w:val="Standard"/>
        <w:spacing w:line="240" w:lineRule="auto"/>
      </w:pPr>
      <w:r>
        <w:rPr>
          <w:rFonts w:ascii="Times New Roman" w:hAnsi="Times New Roman"/>
          <w:b/>
        </w:rPr>
        <w:t xml:space="preserve">1. </w:t>
      </w:r>
      <w:r>
        <w:tab/>
      </w:r>
      <w:r>
        <w:rPr>
          <w:rFonts w:ascii="Times New Roman" w:hAnsi="Times New Roman"/>
          <w:b/>
          <w:u w:val="single"/>
        </w:rPr>
        <w:t>ВЪВЕДЕНИЕ</w:t>
      </w:r>
    </w:p>
    <w:p w:rsidR="006225F5" w:rsidRPr="00377C0C" w:rsidRDefault="00E26CA6" w:rsidP="00DE711C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</w:pPr>
      <w:r>
        <w:t>На 16 юни 2009 г. Комисията прие Кодекса, който предоставя насоки относно ежедневното провеждане на процедурите, свързани с държавните помощи.</w:t>
      </w:r>
      <w:r w:rsidR="00A702E4">
        <w:t xml:space="preserve"> </w:t>
      </w:r>
      <w:r>
        <w:t>В тази връзка Кодексът насърчава осъществяването на контакти, предхождащи уведомлението, и предоставя рамка за подобряване на обмяната на информация между Комисията и държавите членки.</w:t>
      </w:r>
    </w:p>
    <w:p w:rsidR="001B1DEF" w:rsidRPr="00377C0C" w:rsidRDefault="001B1DEF" w:rsidP="00683BE4">
      <w:pPr>
        <w:pStyle w:val="Bod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EF" w:rsidRPr="00377C0C" w:rsidRDefault="001B1DEF" w:rsidP="00DE711C">
      <w:pPr>
        <w:pStyle w:val="Standard"/>
        <w:jc w:val="both"/>
      </w:pPr>
      <w:r>
        <w:rPr>
          <w:rFonts w:ascii="Times New Roman" w:hAnsi="Times New Roman"/>
          <w:sz w:val="24"/>
        </w:rPr>
        <w:t>Кодексът влезе в сила на 1 септември 2009 г.</w:t>
      </w:r>
    </w:p>
    <w:p w:rsidR="00E26CA6" w:rsidRPr="00377C0C" w:rsidRDefault="00E26CA6" w:rsidP="002107A4">
      <w:pPr>
        <w:pStyle w:val="Standard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lastRenderedPageBreak/>
        <w:t>Вследствие на преразглеждането на Процедурния регламент</w:t>
      </w:r>
      <w:r>
        <w:rPr>
          <w:rStyle w:val="FootnoteReference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в рамките на процеса на модернизиране на държавната помощ преразглеждането на Кодекса е необходимо, за да бъдат отразени новите разпоредби.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Следователно настоящата консултация има за цел да бъдат събрани мненията на държавите членки и заинтересованите страни относно прилагането на Кодекса през последните седем години.</w:t>
      </w:r>
    </w:p>
    <w:p w:rsidR="00DE711C" w:rsidRPr="00377C0C" w:rsidRDefault="00E26CA6" w:rsidP="00E26CA6">
      <w:pPr>
        <w:pStyle w:val="Standard"/>
        <w:spacing w:after="120" w:line="240" w:lineRule="auto"/>
      </w:pPr>
      <w:r>
        <w:rPr>
          <w:rFonts w:ascii="Times New Roman" w:hAnsi="Times New Roman"/>
          <w:b/>
          <w:sz w:val="24"/>
        </w:rPr>
        <w:t xml:space="preserve">2. </w:t>
      </w:r>
      <w:r>
        <w:tab/>
      </w:r>
      <w:r w:rsidR="00A702E4">
        <w:rPr>
          <w:rFonts w:ascii="Times New Roman" w:hAnsi="Times New Roman"/>
          <w:b/>
          <w:sz w:val="24"/>
          <w:u w:val="single"/>
        </w:rPr>
        <w:t>КАК ДА СЕ УЧАСТВА В НАСТОЯЩАТА КОНСУЛТАЦИЯ</w:t>
      </w:r>
    </w:p>
    <w:p w:rsidR="00B11157" w:rsidRDefault="00E26CA6" w:rsidP="00E26C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Държавите членки и заинтересованите страни се приканват да отговорят на представения по-долу въпросник. </w:t>
      </w:r>
    </w:p>
    <w:p w:rsidR="00E26CA6" w:rsidRPr="00377C0C" w:rsidRDefault="00E26CA6" w:rsidP="00E26C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Отговорите могат да бъдат изпратени на всички официални езици на ЕС. Въпреки това Ви приканваме да изпратите отговора си на един от работните езици на Комисията (английски, френски или немски).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Целта е да се избегнат възможни забавяния, дължащи се на превода, и да се ускори обработката на отговорите.</w:t>
      </w:r>
      <w:r w:rsidR="00A702E4">
        <w:rPr>
          <w:rFonts w:ascii="Times New Roman" w:hAnsi="Times New Roman"/>
          <w:sz w:val="24"/>
        </w:rPr>
        <w:t xml:space="preserve"> </w:t>
      </w:r>
    </w:p>
    <w:p w:rsidR="00E26CA6" w:rsidRPr="00377C0C" w:rsidRDefault="00437913" w:rsidP="00E26C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Въпросите са организирани по теми. Ако смятате, че даден въпрос не Ви засяга конкретно, моля, отговорете „не се прилага“.</w:t>
      </w:r>
    </w:p>
    <w:p w:rsidR="00B11157" w:rsidRDefault="00E26CA6" w:rsidP="002107A4">
      <w:pPr>
        <w:pStyle w:val="NormalWeb"/>
      </w:pPr>
      <w:r>
        <w:t xml:space="preserve">Крайният срок за изпращане на Вашия отговор е </w:t>
      </w:r>
      <w:r>
        <w:rPr>
          <w:b/>
        </w:rPr>
        <w:t>25 февруари 2017 г</w:t>
      </w:r>
      <w:r>
        <w:t>. Моля, имайте предвид, че не можем да гарантираме, че ще вземем предвид отговори, получени след крайния срок.</w:t>
      </w:r>
    </w:p>
    <w:p w:rsidR="00B11157" w:rsidRDefault="00437913" w:rsidP="00E26CA6">
      <w:pPr>
        <w:pStyle w:val="Standard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Вашият отговор следва да бъде изпратен с референтен номер </w:t>
      </w:r>
      <w:r>
        <w:rPr>
          <w:rFonts w:ascii="Times New Roman" w:hAnsi="Times New Roman"/>
          <w:b/>
          <w:sz w:val="24"/>
        </w:rPr>
        <w:t>‘HT 4816’</w:t>
      </w:r>
      <w:r w:rsidR="00A702E4">
        <w:rPr>
          <w:rFonts w:ascii="Times New Roman" w:hAnsi="Times New Roman"/>
          <w:sz w:val="24"/>
        </w:rPr>
        <w:t>, за предпочитане</w:t>
      </w:r>
      <w:r w:rsidR="00A702E4">
        <w:rPr>
          <w:rFonts w:ascii="Times New Roman" w:hAnsi="Times New Roman"/>
          <w:sz w:val="24"/>
          <w:lang w:val="it-IT"/>
        </w:rPr>
        <w:t> </w:t>
      </w:r>
      <w:r w:rsidR="00A702E4">
        <w:rPr>
          <w:rFonts w:ascii="Times New Roman" w:hAnsi="Times New Roman"/>
          <w:sz w:val="24"/>
        </w:rPr>
        <w:t>по</w:t>
      </w:r>
      <w:r w:rsidR="00A702E4">
        <w:rPr>
          <w:rFonts w:ascii="Times New Roman" w:hAnsi="Times New Roman"/>
          <w:sz w:val="24"/>
          <w:lang w:val="it-IT"/>
        </w:rPr>
        <w:t> </w:t>
      </w:r>
      <w:r w:rsidR="00A702E4">
        <w:rPr>
          <w:rFonts w:ascii="Times New Roman" w:hAnsi="Times New Roman"/>
          <w:sz w:val="24"/>
        </w:rPr>
        <w:t>електронна</w:t>
      </w:r>
      <w:r w:rsidR="00A702E4">
        <w:rPr>
          <w:rFonts w:ascii="Times New Roman" w:hAnsi="Times New Roman"/>
          <w:sz w:val="24"/>
          <w:lang w:val="it-IT"/>
        </w:rPr>
        <w:t> </w:t>
      </w:r>
      <w:r w:rsidR="00A702E4">
        <w:rPr>
          <w:rFonts w:ascii="Times New Roman" w:hAnsi="Times New Roman"/>
          <w:sz w:val="24"/>
        </w:rPr>
        <w:t>поща,</w:t>
      </w:r>
      <w:r w:rsidR="00A702E4">
        <w:rPr>
          <w:rFonts w:ascii="Times New Roman" w:hAnsi="Times New Roman"/>
          <w:sz w:val="24"/>
          <w:lang w:val="it-IT"/>
        </w:rPr>
        <w:t> </w:t>
      </w:r>
      <w:r w:rsidR="00A702E4">
        <w:rPr>
          <w:rFonts w:ascii="Times New Roman" w:hAnsi="Times New Roman"/>
          <w:sz w:val="24"/>
        </w:rPr>
        <w:t>на</w:t>
      </w:r>
      <w:r w:rsidR="00A702E4">
        <w:rPr>
          <w:rFonts w:ascii="Times New Roman" w:hAnsi="Times New Roman"/>
          <w:sz w:val="24"/>
          <w:lang w:val="it-IT"/>
        </w:rPr>
        <w:t> </w:t>
      </w:r>
      <w:r>
        <w:rPr>
          <w:rFonts w:ascii="Times New Roman" w:hAnsi="Times New Roman"/>
          <w:sz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Internetlink"/>
          <w:rFonts w:ascii="Times New Roman" w:hAnsi="Times New Roman"/>
          <w:sz w:val="24"/>
        </w:rPr>
        <w:t>COMP-03-PUBLIC-CONSULTATION@ec.</w:t>
      </w:r>
      <w:proofErr w:type="spellStart"/>
      <w:r>
        <w:rPr>
          <w:rStyle w:val="Internetlink"/>
          <w:rFonts w:ascii="Times New Roman" w:hAnsi="Times New Roman"/>
          <w:sz w:val="24"/>
        </w:rPr>
        <w:t>europa</w:t>
      </w:r>
      <w:proofErr w:type="spellEnd"/>
      <w:r>
        <w:rPr>
          <w:rStyle w:val="Internetlink"/>
          <w:rFonts w:ascii="Times New Roman" w:hAnsi="Times New Roman"/>
          <w:sz w:val="24"/>
        </w:rPr>
        <w:t>.</w:t>
      </w:r>
      <w:proofErr w:type="spellStart"/>
      <w:r>
        <w:rPr>
          <w:rStyle w:val="Internetlink"/>
          <w:rFonts w:ascii="Times New Roman" w:hAnsi="Times New Roman"/>
          <w:sz w:val="24"/>
        </w:rPr>
        <w:t>eu</w:t>
      </w:r>
      <w:proofErr w:type="spellEnd"/>
    </w:p>
    <w:p w:rsidR="00B11157" w:rsidRDefault="00B11157" w:rsidP="00E26CA6">
      <w:pPr>
        <w:pStyle w:val="Standard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Като алтернатива Вашият отговор може да бъде изпратен и на следния пощенски адрес:</w:t>
      </w:r>
    </w:p>
    <w:p w:rsidR="002107A4" w:rsidRPr="002107A4" w:rsidRDefault="002107A4" w:rsidP="002107A4">
      <w:pPr>
        <w:spacing w:line="276" w:lineRule="auto"/>
        <w:rPr>
          <w:rFonts w:eastAsia="Times New Roman" w:cs="Times New Roman"/>
          <w:kern w:val="0"/>
        </w:r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r>
        <w:br/>
      </w:r>
      <w:proofErr w:type="spellStart"/>
      <w:r>
        <w:t>Directorate-General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r>
        <w:br/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State </w:t>
      </w:r>
      <w:proofErr w:type="spellStart"/>
      <w:r>
        <w:t>Aid</w:t>
      </w:r>
      <w:proofErr w:type="spellEnd"/>
      <w:r>
        <w:t xml:space="preserve"> </w:t>
      </w:r>
      <w:proofErr w:type="spellStart"/>
      <w:r>
        <w:t>Registry</w:t>
      </w:r>
      <w:proofErr w:type="spellEnd"/>
      <w:r>
        <w:br/>
        <w:t xml:space="preserve">1049 </w:t>
      </w:r>
      <w:proofErr w:type="spellStart"/>
      <w:r>
        <w:t>Bruxelles</w:t>
      </w:r>
      <w:proofErr w:type="spellEnd"/>
      <w:r>
        <w:t xml:space="preserve"> </w:t>
      </w:r>
      <w:r>
        <w:br/>
        <w:t>BELGIQUE</w:t>
      </w:r>
    </w:p>
    <w:p w:rsidR="00E26CA6" w:rsidRPr="00377C0C" w:rsidRDefault="00E26CA6" w:rsidP="00E26CA6">
      <w:pPr>
        <w:pStyle w:val="Standard"/>
        <w:pageBreakBefore/>
        <w:jc w:val="both"/>
      </w:pPr>
      <w:r>
        <w:rPr>
          <w:rFonts w:ascii="Times New Roman" w:hAnsi="Times New Roman"/>
          <w:b/>
          <w:smallCaps/>
          <w:sz w:val="28"/>
          <w:shd w:val="clear" w:color="auto" w:fill="003366"/>
        </w:rPr>
        <w:lastRenderedPageBreak/>
        <w:t>Вашият профил</w:t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>
        <w:rPr>
          <w:rFonts w:ascii="Times New Roman" w:hAnsi="Times New Roman"/>
          <w:b/>
          <w:smallCaps/>
          <w:sz w:val="28"/>
          <w:shd w:val="clear" w:color="auto" w:fill="003366"/>
        </w:rPr>
        <w:t xml:space="preserve"> </w:t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>
        <w:rPr>
          <w:rFonts w:ascii="Times New Roman" w:hAnsi="Times New Roman"/>
          <w:b/>
          <w:smallCaps/>
          <w:sz w:val="28"/>
          <w:shd w:val="clear" w:color="auto" w:fill="003366"/>
        </w:rPr>
        <w:t xml:space="preserve"> </w:t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  <w:r w:rsidRPr="00A702E4">
        <w:rPr>
          <w:rFonts w:ascii="Times New Roman" w:hAnsi="Times New Roman"/>
          <w:b/>
          <w:smallCaps/>
          <w:sz w:val="28"/>
          <w:shd w:val="clear" w:color="auto" w:fill="003366"/>
        </w:rPr>
        <w:tab/>
      </w:r>
    </w:p>
    <w:p w:rsidR="00A92188" w:rsidRDefault="00E26CA6" w:rsidP="00E26CA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СПЕЦИАЛНА ДЕКЛАРАЦИЯ ЗА ПОВЕРИТЕЛНОСТ</w:t>
      </w:r>
    </w:p>
    <w:p w:rsidR="0065367A" w:rsidRPr="00377C0C" w:rsidRDefault="0065367A" w:rsidP="0065367A">
      <w:pPr>
        <w:pStyle w:val="Standard"/>
        <w:spacing w:after="120" w:line="240" w:lineRule="auto"/>
        <w:jc w:val="both"/>
      </w:pPr>
      <w:r>
        <w:rPr>
          <w:rFonts w:ascii="Times New Roman" w:hAnsi="Times New Roman"/>
          <w:sz w:val="24"/>
        </w:rPr>
        <w:t xml:space="preserve">Трябва да имате предвид, че Комисията възнамерява да публикува отговорите на този въпросник на: </w:t>
      </w:r>
      <w:hyperlink r:id="rId11">
        <w:r>
          <w:rPr>
            <w:rStyle w:val="Internetlink"/>
            <w:rFonts w:ascii="Times New Roman" w:hAnsi="Times New Roman"/>
            <w:noProof/>
            <w:sz w:val="24"/>
          </w:rPr>
          <w:t>http://ec.europa.eu/competition/consultations/open.html</w:t>
        </w:r>
      </w:hyperlink>
      <w:r>
        <w:rPr>
          <w:rFonts w:ascii="Times New Roman" w:hAnsi="Times New Roman"/>
          <w:sz w:val="24"/>
        </w:rPr>
        <w:t>.</w:t>
      </w:r>
    </w:p>
    <w:p w:rsidR="0065367A" w:rsidRPr="00377C0C" w:rsidRDefault="0065367A" w:rsidP="006536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 оглед на това, ако не желаете Вашата самоличност и/или всички или части от отговорите Ви да бъдат публикувани, трябва ясно да посочите това по-долу.</w:t>
      </w:r>
    </w:p>
    <w:p w:rsidR="00E26CA6" w:rsidRPr="00377C0C" w:rsidRDefault="00E26CA6" w:rsidP="001D2417">
      <w:pPr>
        <w:pStyle w:val="Text1"/>
        <w:ind w:left="0"/>
        <w:jc w:val="left"/>
      </w:pPr>
      <w:r>
        <w:t xml:space="preserve">Повече информация относно политиката на ЕС за защита на данните можете да намерите на: </w:t>
      </w:r>
      <w:hyperlink r:id="rId12" w:anchor="personaldata">
        <w:r>
          <w:rPr>
            <w:rStyle w:val="Internetlink"/>
            <w:noProof/>
          </w:rPr>
          <w:t>http://ec.europa.eu/geninfo/legal_notices_bg.htm#personaldata</w:t>
        </w:r>
      </w:hyperlink>
    </w:p>
    <w:p w:rsidR="00E26CA6" w:rsidRPr="00377C0C" w:rsidRDefault="00E26CA6" w:rsidP="00E26CA6">
      <w:pPr>
        <w:pStyle w:val="Standard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напишете по-долу своите данни за връзка.</w:t>
      </w:r>
    </w:p>
    <w:tbl>
      <w:tblPr>
        <w:tblW w:w="949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655"/>
      </w:tblGrid>
      <w:tr w:rsidR="00E26CA6" w:rsidRPr="00377C0C" w:rsidTr="00BD58BF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Име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E26CA6" w:rsidRPr="00377C0C" w:rsidTr="00BD58BF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Представлявана организация</w:t>
            </w: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E26CA6" w:rsidRPr="00377C0C" w:rsidTr="00BD58BF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Основни стопански дейности</w:t>
            </w: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E26CA6" w:rsidRPr="00377C0C" w:rsidTr="00BD58BF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Местонахождение (държава)</w:t>
            </w: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</w:tc>
      </w:tr>
      <w:tr w:rsidR="00E26CA6" w:rsidRPr="00377C0C" w:rsidTr="00BD58BF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Електронна поща</w:t>
            </w:r>
          </w:p>
        </w:tc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CA6" w:rsidRPr="00377C0C" w:rsidRDefault="00E26CA6" w:rsidP="00BD58BF">
            <w:pPr>
              <w:pStyle w:val="Standard"/>
              <w:snapToGrid w:val="0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E26CA6" w:rsidRPr="00377C0C" w:rsidRDefault="00E26CA6" w:rsidP="00E26CA6">
      <w:pPr>
        <w:pStyle w:val="Standard"/>
        <w:jc w:val="both"/>
        <w:rPr>
          <w:rFonts w:ascii="Times New Roman" w:hAnsi="Times New Roman"/>
          <w:b/>
          <w:i/>
        </w:rPr>
      </w:pP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интерес на прозрачността Комисията моли организациите, които желаят да представят коментари в контекста на публични консултации, да предоставят на Комисията и на широката общественост информация за субектите и областите, които представляват, като се регистрират в Регистъра за прозрачност и подпишат неговия Кодекс за поведение. Ако дадена организация реши да не предостави тази информация, официалната политика на Комисията е да отнесе този отговор към категорията на индивидуалните отговори. (Стандарти за консултации, вж. COM (2002) 704;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Насоки за по-добро регулиране, вж. SWD (2015)111 </w:t>
      </w:r>
      <w:proofErr w:type="spellStart"/>
      <w:r>
        <w:rPr>
          <w:rFonts w:ascii="Times New Roman" w:hAnsi="Times New Roman"/>
          <w:sz w:val="24"/>
        </w:rPr>
        <w:t>final</w:t>
      </w:r>
      <w:proofErr w:type="spellEnd"/>
      <w:r>
        <w:rPr>
          <w:rFonts w:ascii="Times New Roman" w:hAnsi="Times New Roman"/>
          <w:sz w:val="24"/>
        </w:rPr>
        <w:t xml:space="preserve"> и Съобщение относно </w:t>
      </w:r>
      <w:proofErr w:type="spellStart"/>
      <w:r>
        <w:rPr>
          <w:rFonts w:ascii="Times New Roman" w:hAnsi="Times New Roman"/>
          <w:sz w:val="24"/>
        </w:rPr>
        <w:t>последващи</w:t>
      </w:r>
      <w:proofErr w:type="spellEnd"/>
      <w:r>
        <w:rPr>
          <w:rFonts w:ascii="Times New Roman" w:hAnsi="Times New Roman"/>
          <w:sz w:val="24"/>
        </w:rPr>
        <w:t xml:space="preserve"> мерки към Европейската инициатива за прозрачност, вж. COM (2007) 127).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сте регистрирана организация, моля, посочете регистрационния си номер, когато отговаряте на онлайн въпросника. Коментарите и предложенията Ви в такъв случай ще се разглеждат като представителни за мненията на Вашата организация.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организацията Ви не е регистрирана, имате възможност да се регистрирате сега. След това можете да се върнете на тази страница, да продължите с попълването на въпросника и да изпратите коментарите и предложенията си вече като регистрирана организация.</w:t>
      </w:r>
    </w:p>
    <w:p w:rsidR="007B6308" w:rsidRPr="007B6308" w:rsidRDefault="007B6308" w:rsidP="007B6308">
      <w:pPr>
        <w:pStyle w:val="Standard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Важно е да прочетете специалната декларация за поверителност, приложена към настоящата консултация, за да сте информирани как ще бъдат използвани Вашите лични данни, както и Вашите коментари и предложения.</w:t>
      </w:r>
    </w:p>
    <w:p w:rsidR="007B6308" w:rsidRPr="007B6308" w:rsidRDefault="007B6308" w:rsidP="007B6308">
      <w:pPr>
        <w:pStyle w:val="Standard"/>
        <w:jc w:val="both"/>
        <w:rPr>
          <w:rFonts w:ascii="Times New Roman" w:hAnsi="Times New Roman"/>
          <w:b/>
          <w:i/>
        </w:rPr>
      </w:pP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 регистрирани организации: моля, въведете тук регистрационния си номер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Моля, изберете </w:t>
      </w:r>
      <w:r w:rsidRPr="00A702E4">
        <w:rPr>
          <w:rFonts w:ascii="Times New Roman" w:hAnsi="Times New Roman"/>
          <w:sz w:val="24"/>
          <w:u w:val="single"/>
        </w:rPr>
        <w:t>една</w:t>
      </w:r>
      <w:r>
        <w:rPr>
          <w:rFonts w:ascii="Times New Roman" w:hAnsi="Times New Roman"/>
          <w:sz w:val="24"/>
        </w:rPr>
        <w:t xml:space="preserve"> от следните три възможности относно използването на Вашите коментари и предложения: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Моите/Нашите коментари и предложения 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/>
          <w:sz w:val="24"/>
        </w:rPr>
        <w:t xml:space="preserve"> могат да бъдат публикувани директно, включително с моите лични данни и тези на организацията (давам съгласие цялата информация за коментарите и предложенията ми да бъде публикувана изцяло или частично, включително моето име/наименованието на моята организация, и декларирам, че в отговора ми няма нищо незаконно или нарушаващо правата на трети лица по начин, който би направил публикуването недопустимо).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/>
          <w:sz w:val="24"/>
        </w:rPr>
        <w:t xml:space="preserve"> могат да бъдат публикувани директно, при условие че се запази анонимността на моята самоличност/организация (давам съгласие цялата информация за коментарите и предложенията ми да бъде публикувана изцяло или частично (което може да включва цитати или изразени от мен мнения), ако това се направи анонимно). Декларирам, че в отговора ми няма нищо незаконно или нарушаващо правата на трети лица по начин, който би направил публикуването недопустимо.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6308" w:rsidRPr="001B339E" w:rsidRDefault="007B6308" w:rsidP="007B63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</w:t>
      </w:r>
      <w:r w:rsidR="00A702E4" w:rsidRPr="00A70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не могат да бъдат публикувани директно, но могат да бъдат включвани в статистически данни (разбирам, че коментарите и предложенията ми няма да бъдат публикувани директно, но отговорите в анонимен вид могат да бъдат включвани в публикувани статистически данни, например за показване на общи тенденции в мненията по тази консултация). Имайте предвид, че отговорите Ви могат да бъдат предмет на искания за публичен достъп до документи съгласно Регламент (ЕО) № 1049/2001.</w:t>
      </w:r>
    </w:p>
    <w:p w:rsidR="007B6308" w:rsidRDefault="007B6308" w:rsidP="00E26CA6">
      <w:pPr>
        <w:pStyle w:val="Standard"/>
        <w:jc w:val="both"/>
        <w:rPr>
          <w:rFonts w:ascii="Times New Roman" w:hAnsi="Times New Roman"/>
          <w:b/>
          <w:i/>
        </w:rPr>
      </w:pPr>
    </w:p>
    <w:p w:rsidR="00E26CA6" w:rsidRPr="007926B6" w:rsidRDefault="00E26CA6" w:rsidP="00E26CA6">
      <w:pPr>
        <w:pStyle w:val="Standard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ЗАБЕЛЕЖКА: Следва да спазвате реда на въпросите, въпреки че не се изисква да отговаряте на всички въпроси. Моля, отбележете въпросите, които не се отнасят до Вас, с „не се прилага“. Може също да предоставите допълнителна информация, която считате за важна.</w:t>
      </w:r>
    </w:p>
    <w:p w:rsidR="005C0542" w:rsidRPr="00377C0C" w:rsidRDefault="005C0542" w:rsidP="00E26CA6">
      <w:pPr>
        <w:pStyle w:val="Standard"/>
        <w:jc w:val="both"/>
        <w:rPr>
          <w:rFonts w:ascii="Times New Roman" w:hAnsi="Times New Roman"/>
          <w:b/>
          <w:i/>
        </w:rPr>
      </w:pPr>
    </w:p>
    <w:p w:rsidR="00E26CA6" w:rsidRPr="00377C0C" w:rsidRDefault="00E26CA6" w:rsidP="00E26CA6">
      <w:pPr>
        <w:pStyle w:val="Standard"/>
        <w:spacing w:before="120" w:after="120"/>
        <w:rPr>
          <w:rFonts w:ascii="Times New Roman" w:hAnsi="Times New Roman"/>
          <w:b/>
          <w:smallCaps/>
          <w:sz w:val="28"/>
          <w:szCs w:val="28"/>
          <w:shd w:val="clear" w:color="auto" w:fill="003366"/>
        </w:rPr>
      </w:pPr>
    </w:p>
    <w:p w:rsidR="00E26CA6" w:rsidRPr="00377C0C" w:rsidRDefault="00E26CA6" w:rsidP="00E26CA6">
      <w:pPr>
        <w:pStyle w:val="Standard"/>
        <w:pageBreakBefore/>
        <w:spacing w:before="120" w:after="120"/>
      </w:pPr>
      <w:r>
        <w:rPr>
          <w:rFonts w:ascii="Times New Roman" w:hAnsi="Times New Roman"/>
          <w:b/>
          <w:smallCaps/>
          <w:sz w:val="28"/>
          <w:shd w:val="clear" w:color="auto" w:fill="003366"/>
        </w:rPr>
        <w:lastRenderedPageBreak/>
        <w:t>Раздел А:</w:t>
      </w:r>
      <w:r w:rsidR="00A702E4" w:rsidRPr="00A702E4">
        <w:rPr>
          <w:rFonts w:ascii="Times New Roman" w:hAnsi="Times New Roman"/>
          <w:b/>
          <w:smallCaps/>
          <w:sz w:val="28"/>
          <w:shd w:val="clear" w:color="auto" w:fill="003366"/>
        </w:rPr>
        <w:t xml:space="preserve"> </w:t>
      </w:r>
      <w:r>
        <w:rPr>
          <w:rFonts w:ascii="Times New Roman" w:hAnsi="Times New Roman"/>
          <w:b/>
          <w:smallCaps/>
          <w:sz w:val="28"/>
          <w:shd w:val="clear" w:color="auto" w:fill="003366"/>
        </w:rPr>
        <w:t>Общи положения</w:t>
      </w:r>
    </w:p>
    <w:p w:rsidR="00E26CA6" w:rsidRPr="00377C0C" w:rsidRDefault="00E26CA6" w:rsidP="00E26CA6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87FD5" w:rsidRPr="00377C0C" w:rsidRDefault="00E26CA6" w:rsidP="00087FD5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Използвали ли сте Кодекса?</w:t>
      </w:r>
    </w:p>
    <w:p w:rsidR="00FC0377" w:rsidRDefault="00755D17" w:rsidP="0007578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Въз основа на Вашия опит кои са основните положителни последици от Кодекса и кои са предпоставките за успешното му прилагане?</w:t>
      </w:r>
    </w:p>
    <w:p w:rsidR="00E26CA6" w:rsidRDefault="00E26CA6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дайте конкретни примери.</w:t>
      </w:r>
    </w:p>
    <w:p w:rsidR="00FC0377" w:rsidRPr="00FC0377" w:rsidRDefault="00FC0377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C0377" w:rsidRDefault="00755D17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Въз основа на Вашия опит кои са основните отрицателни последици от Кодекса? </w:t>
      </w:r>
    </w:p>
    <w:p w:rsidR="00E26CA6" w:rsidRDefault="00E26CA6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дайте конкретни примери.</w:t>
      </w:r>
    </w:p>
    <w:p w:rsidR="00FC0377" w:rsidRPr="00377C0C" w:rsidRDefault="00FC0377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C0377" w:rsidRDefault="00E26CA6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Срещали ли сте трудности с някоя от процедурите, изложени в Кодекса? </w:t>
      </w:r>
    </w:p>
    <w:p w:rsidR="00E26CA6" w:rsidRPr="00377C0C" w:rsidRDefault="00E26CA6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моля, обяснете трудностите, които сте срещали.</w:t>
      </w:r>
    </w:p>
    <w:p w:rsidR="00E26CA6" w:rsidRPr="00377C0C" w:rsidRDefault="00E26CA6" w:rsidP="00E26CA6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6CA6" w:rsidRPr="00377C0C" w:rsidRDefault="00E26CA6" w:rsidP="00E26CA6">
      <w:pPr>
        <w:pStyle w:val="Standard"/>
        <w:spacing w:after="0"/>
        <w:jc w:val="both"/>
        <w:rPr>
          <w:rFonts w:ascii="Times New Roman" w:hAnsi="Times New Roman"/>
          <w:b/>
          <w:smallCaps/>
          <w:sz w:val="28"/>
          <w:szCs w:val="28"/>
          <w:shd w:val="clear" w:color="auto" w:fill="003366"/>
        </w:rPr>
      </w:pPr>
      <w:r>
        <w:rPr>
          <w:rFonts w:ascii="Times New Roman" w:hAnsi="Times New Roman"/>
          <w:b/>
          <w:smallCaps/>
          <w:sz w:val="28"/>
          <w:shd w:val="clear" w:color="auto" w:fill="003366"/>
        </w:rPr>
        <w:t xml:space="preserve">Раздел Б: Използване на Кодекса на най-добри практики </w:t>
      </w:r>
    </w:p>
    <w:p w:rsidR="00E26CA6" w:rsidRPr="00377C0C" w:rsidRDefault="00E26CA6" w:rsidP="00E26CA6">
      <w:pPr>
        <w:pStyle w:val="Standard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26CA6" w:rsidRPr="00377C0C" w:rsidRDefault="00E26CA6" w:rsidP="005F03AF">
      <w:pPr>
        <w:pStyle w:val="Heading1"/>
      </w:pPr>
      <w:r>
        <w:t>Общи положения</w:t>
      </w:r>
    </w:p>
    <w:p w:rsidR="00E26CA6" w:rsidRPr="00377C0C" w:rsidRDefault="00E26CA6" w:rsidP="00E26CA6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Кои части на Кодекса считате за полезни?</w:t>
      </w:r>
    </w:p>
    <w:p w:rsidR="00E26CA6" w:rsidRPr="00377C0C" w:rsidRDefault="00E26CA6" w:rsidP="00E26CA6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Кои части на Кодекса не считате за полезни?</w:t>
      </w:r>
    </w:p>
    <w:p w:rsidR="004A0F48" w:rsidRDefault="00BE467C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Откакто Кодексът влезе в сила през 2009 г., имал ли е положително въздействие върху провеждането на процедурите, свързани с държавните помощи, от страна на Комисията? </w:t>
      </w:r>
    </w:p>
    <w:p w:rsidR="00683BE4" w:rsidRDefault="00683BE4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дайте примери.</w:t>
      </w:r>
    </w:p>
    <w:p w:rsidR="004A0F48" w:rsidRPr="00377C0C" w:rsidRDefault="004A0F48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F48" w:rsidRDefault="00F82CCF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Въз основа на Вашия опит Кодексът подобрява ли </w:t>
      </w:r>
      <w:proofErr w:type="spellStart"/>
      <w:r>
        <w:rPr>
          <w:rFonts w:ascii="Times New Roman" w:hAnsi="Times New Roman"/>
          <w:sz w:val="24"/>
        </w:rPr>
        <w:t>предвидимостта</w:t>
      </w:r>
      <w:proofErr w:type="spellEnd"/>
      <w:r>
        <w:rPr>
          <w:rFonts w:ascii="Times New Roman" w:hAnsi="Times New Roman"/>
          <w:sz w:val="24"/>
        </w:rPr>
        <w:t xml:space="preserve"> на процедурите, свързани с държавните помощи? </w:t>
      </w:r>
    </w:p>
    <w:p w:rsidR="00F82CCF" w:rsidRDefault="00F82CCF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дайте конкретни примери.</w:t>
      </w:r>
    </w:p>
    <w:p w:rsidR="00362EE3" w:rsidRDefault="00362EE3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62EE3" w:rsidRPr="00377C0C" w:rsidRDefault="00362EE3" w:rsidP="001B339E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Коя е процедурата, протекла най-гладко във Вашия случай, и какви изводи могат да се направят от нея?</w:t>
      </w:r>
      <w:r w:rsidR="00A702E4">
        <w:rPr>
          <w:rFonts w:ascii="Times New Roman" w:hAnsi="Times New Roman"/>
          <w:sz w:val="24"/>
        </w:rPr>
        <w:t xml:space="preserve"> </w:t>
      </w:r>
    </w:p>
    <w:p w:rsidR="00E26CA6" w:rsidRPr="00377C0C" w:rsidRDefault="009E3DFD" w:rsidP="005F03AF">
      <w:pPr>
        <w:pStyle w:val="Heading1"/>
      </w:pPr>
      <w:r>
        <w:t>Контакти, предхождащи уведомлението</w:t>
      </w:r>
    </w:p>
    <w:p w:rsidR="009732FC" w:rsidRPr="00377C0C" w:rsidRDefault="009732FC" w:rsidP="00497AF4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Моля посочете колко контакта, предхождащи уведомлението, сте осъществили с Комисията от 2009 г. насам? </w:t>
      </w:r>
    </w:p>
    <w:p w:rsidR="004A0F48" w:rsidRDefault="00BE467C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Срещали ли сте трудности при осъществяването на контакти, предхождащи уведомлението? </w:t>
      </w:r>
    </w:p>
    <w:p w:rsidR="000B24C4" w:rsidRDefault="000B24C4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Ако отговорът е „да“, моля, обяснете естеството на тези трудности. </w:t>
      </w:r>
    </w:p>
    <w:p w:rsidR="004A0F48" w:rsidRPr="00377C0C" w:rsidRDefault="004A0F48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86E" w:rsidRDefault="009E3DFD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Като цяло, бяха ли полезни контактите, предхождащи уведомлението? </w:t>
      </w:r>
    </w:p>
    <w:p w:rsidR="002B686E" w:rsidRDefault="000B24C4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моля, обяснете защо.</w:t>
      </w:r>
    </w:p>
    <w:p w:rsidR="0017336A" w:rsidRPr="00377C0C" w:rsidRDefault="0017336A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C7" w:rsidRPr="00377C0C" w:rsidRDefault="000B24C4" w:rsidP="001C6CC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В колко случая Комисията осъществи първоначален контакт в рамките на двуседмичния ориентировъчен срок след получаването на формуляра с проекта на уведомление?</w:t>
      </w:r>
    </w:p>
    <w:p w:rsidR="00755D17" w:rsidRPr="00F127F1" w:rsidRDefault="0091686C" w:rsidP="001C6CC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Колко дълго продължиха контактите, предхождащи уведомлението?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Имаха ли положително въздействие върху общата продължителност на процедурата, свързана с държавните помощи?</w:t>
      </w:r>
    </w:p>
    <w:p w:rsidR="004E0337" w:rsidRPr="00377C0C" w:rsidRDefault="00BE467C" w:rsidP="000F1BF6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Имаше ли някаква разлика в продължителността за определени категории от случаи (напр. нови инструменти за осигуряване на помощ, конкретни сектори, големи размери на помощта и т.н.)</w:t>
      </w:r>
    </w:p>
    <w:p w:rsidR="004E0337" w:rsidRPr="00377C0C" w:rsidRDefault="00BE57CD" w:rsidP="00BE57CD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Бенефициерът</w:t>
      </w:r>
      <w:proofErr w:type="spellEnd"/>
      <w:r>
        <w:rPr>
          <w:rFonts w:ascii="Times New Roman" w:hAnsi="Times New Roman"/>
          <w:sz w:val="24"/>
        </w:rPr>
        <w:t xml:space="preserve"> на помощта взе ли участие в процеса на осъществяване на контактите, предхождащи уведомлението?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Това беше ли полезно?</w:t>
      </w:r>
    </w:p>
    <w:p w:rsidR="004E0337" w:rsidRPr="00377C0C" w:rsidRDefault="004E0337" w:rsidP="005F03AF">
      <w:pPr>
        <w:pStyle w:val="Heading1"/>
      </w:pPr>
      <w:r>
        <w:t>Предварително разглеждане</w:t>
      </w:r>
    </w:p>
    <w:p w:rsidR="00F127F1" w:rsidRDefault="00BE57CD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колко случая от 2009 г. насам сте получили от Комисията изчерпателно искане за информация в рамките на 4 до 6 седмици след уведомлението? </w:t>
      </w:r>
    </w:p>
    <w:p w:rsidR="00F127F1" w:rsidRDefault="005C0542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посочете също и общия брой на случаите, за които е подадено уведомление.</w:t>
      </w:r>
    </w:p>
    <w:p w:rsidR="004E0337" w:rsidRPr="00377C0C" w:rsidRDefault="004E0337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337" w:rsidRPr="00377C0C" w:rsidRDefault="0075347F" w:rsidP="0075347F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колко случая Комисията е повдигала допълнителни въпроси, след като веднъж сте отговорили на първоначалното искане за информация?</w:t>
      </w:r>
      <w:r w:rsidR="00A702E4">
        <w:rPr>
          <w:rFonts w:ascii="Times New Roman" w:hAnsi="Times New Roman"/>
          <w:sz w:val="24"/>
        </w:rPr>
        <w:t xml:space="preserve"> </w:t>
      </w:r>
    </w:p>
    <w:p w:rsidR="00F127F1" w:rsidRDefault="00BE57CD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Бяха ли повдигнатите от Комисията въпроси трудни за отговаряне? </w:t>
      </w:r>
    </w:p>
    <w:p w:rsidR="00F127F1" w:rsidRDefault="00954DC2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моля, дайте примери за случай, в който това е било особено трудно?</w:t>
      </w:r>
    </w:p>
    <w:p w:rsidR="00954DC2" w:rsidRPr="00377C0C" w:rsidRDefault="00954DC2" w:rsidP="001D241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337" w:rsidRPr="00377C0C" w:rsidRDefault="00BE57CD" w:rsidP="004E033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Беше ли предоставена достатъчна информация относно актуалното състояние на текущите предварителни разглеждания от страна на Комисията?</w:t>
      </w:r>
    </w:p>
    <w:p w:rsidR="009F4825" w:rsidRPr="00377C0C" w:rsidRDefault="009F4825" w:rsidP="005D02BA">
      <w:pPr>
        <w:pStyle w:val="Heading1"/>
      </w:pPr>
      <w:r>
        <w:t>Официална процедура по разследване</w:t>
      </w:r>
    </w:p>
    <w:p w:rsidR="00F127F1" w:rsidRPr="001D2417" w:rsidRDefault="00F75864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Срещали ли сте трудности при уреждането на въпроси, свързани с поверителността, при публикуването на решението?</w:t>
      </w:r>
      <w:r w:rsidR="00A702E4">
        <w:rPr>
          <w:rFonts w:ascii="Times New Roman" w:hAnsi="Times New Roman"/>
          <w:sz w:val="24"/>
        </w:rPr>
        <w:t xml:space="preserve"> </w:t>
      </w:r>
    </w:p>
    <w:p w:rsidR="009F4825" w:rsidRDefault="009F4825" w:rsidP="001D2417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моля, дайте конкретни примери.</w:t>
      </w:r>
      <w:r w:rsidR="00A702E4">
        <w:rPr>
          <w:rFonts w:ascii="Times New Roman" w:hAnsi="Times New Roman"/>
          <w:sz w:val="24"/>
        </w:rPr>
        <w:t xml:space="preserve"> </w:t>
      </w:r>
    </w:p>
    <w:p w:rsidR="00F127F1" w:rsidRPr="00377C0C" w:rsidRDefault="00F127F1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825" w:rsidRPr="00377C0C" w:rsidRDefault="00307E75" w:rsidP="001C6CC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Според Кодекса Комисията се стреми да приеме окончателно решение в рамките на 4 месеца след подаването на най-актуалната информация. Считате ли този краен срок за подходящ?</w:t>
      </w:r>
    </w:p>
    <w:p w:rsidR="00BE23BC" w:rsidRPr="00377C0C" w:rsidRDefault="00BE23BC" w:rsidP="005F03AF">
      <w:pPr>
        <w:pStyle w:val="Heading1"/>
      </w:pPr>
      <w:r>
        <w:t>Взаимно съгласувано планиране</w:t>
      </w:r>
    </w:p>
    <w:p w:rsidR="00BE23BC" w:rsidRPr="00377C0C" w:rsidRDefault="00026586" w:rsidP="00954DC2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 2009 г. насам отправяли ли сте искания за взаимно съгласувано планиране? В колко случая взаимно съгласуваното планиране беше договорено с Комисията? </w:t>
      </w:r>
    </w:p>
    <w:p w:rsidR="00954DC2" w:rsidRPr="00377C0C" w:rsidRDefault="00954DC2" w:rsidP="00954DC2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никога не сте използвали тази процедура, моля, посочете причините, поради които не сте поискали нейното прилагане.</w:t>
      </w:r>
    </w:p>
    <w:p w:rsidR="00D175C2" w:rsidRDefault="00954DC2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случай на договорено взаимно съгласувано планиране считате ли, че процедурата е била полезна? </w:t>
      </w:r>
    </w:p>
    <w:p w:rsidR="00D175C2" w:rsidRDefault="00954DC2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Ако отговорът е „не“, моля, посочете какво би могло да направи процедурата по-полезна? </w:t>
      </w:r>
    </w:p>
    <w:p w:rsidR="00BE23BC" w:rsidRPr="00377C0C" w:rsidRDefault="00BE23BC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E3" w:rsidRDefault="006B7024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Комисията и държавите членки спазиха ли сроковете, определени във взаимно съгласуваното планиране? Имаше ли някакви трудности при зачитането на взаимно съгласуваното планиране? </w:t>
      </w:r>
    </w:p>
    <w:p w:rsidR="009F0FE3" w:rsidRDefault="00026586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дайте конкретни примери.</w:t>
      </w:r>
    </w:p>
    <w:p w:rsidR="00026586" w:rsidRPr="00377C0C" w:rsidRDefault="00026586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5A7" w:rsidRPr="00377C0C" w:rsidRDefault="00307E75" w:rsidP="005A25A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Трябва ли взаимно съгласуваното планиране да бъде запазено за специфични видове случаи, като например нови, технически сложни или деликатни случаи? Или трябва да бъде налично за други случаи?</w:t>
      </w:r>
    </w:p>
    <w:p w:rsidR="00BE23BC" w:rsidRPr="00377C0C" w:rsidRDefault="001C0EE8" w:rsidP="0023665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Имате ли някакви предложения относно начина, по който взаимно съгласуваното планиране би могло да се подобри?</w:t>
      </w:r>
    </w:p>
    <w:p w:rsidR="00CD5268" w:rsidRPr="00377C0C" w:rsidRDefault="00CD5268" w:rsidP="005F03AF">
      <w:pPr>
        <w:pStyle w:val="Heading1"/>
      </w:pPr>
      <w:r>
        <w:t>Жалби</w:t>
      </w:r>
    </w:p>
    <w:p w:rsidR="00CD5268" w:rsidRPr="00377C0C" w:rsidRDefault="00CD5268" w:rsidP="006B7024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Подавали ли сте жалба или били ли сте засегнати от подадена жалба към ГД „Конкуренция“? От колко жалби сте били засегнати от 2009 г. насам?</w:t>
      </w:r>
    </w:p>
    <w:p w:rsidR="00CD5268" w:rsidRPr="00377C0C" w:rsidRDefault="00CD5268" w:rsidP="006B7024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Въз основа на Вашия опит смятате ли, че Комисията като цяло отговаря на жалбите в рамките на ориентировъчния краен срок от 12 месеца? </w:t>
      </w:r>
    </w:p>
    <w:p w:rsidR="009F0FE3" w:rsidRDefault="00E43897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Получавали ли сте информация от Комисията относно актуалното състояние на Вашата жалба? </w:t>
      </w:r>
    </w:p>
    <w:p w:rsidR="00E43897" w:rsidRDefault="00E43897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под каква форма се осъществи тази комуникация?</w:t>
      </w:r>
    </w:p>
    <w:p w:rsidR="009F0FE3" w:rsidRPr="00377C0C" w:rsidRDefault="009F0FE3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C20" w:rsidRDefault="00E43897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Получавали ли сте искане за информация от Комисията в контекста на разследване? </w:t>
      </w:r>
    </w:p>
    <w:p w:rsidR="00884C20" w:rsidRDefault="006B7024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Ако отговорът е „да“, срещнахте ли някакви трудности при отговарянето на искането на Комисията? </w:t>
      </w:r>
    </w:p>
    <w:p w:rsidR="00E43897" w:rsidRDefault="006B7024" w:rsidP="001D2417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Ако отговорът е „да“, моля, дайте конкретни примери.</w:t>
      </w:r>
    </w:p>
    <w:p w:rsidR="00884C20" w:rsidRPr="00377C0C" w:rsidRDefault="00884C20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897" w:rsidRPr="00377C0C" w:rsidRDefault="006B7024" w:rsidP="006B7024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Имате ли някакви препоръки относно начина, по който би могла да се подобри комуникацията между Комисията и страните по жалбата по време на разглеждането на случая? Моля дайте конкретни предложения или примери за случаи, в които, по Ваше мнение, комуникацията е била осъществена по подходящ начин.</w:t>
      </w:r>
    </w:p>
    <w:p w:rsidR="004320F9" w:rsidRPr="00377C0C" w:rsidRDefault="004320F9" w:rsidP="005F03AF">
      <w:pPr>
        <w:pStyle w:val="Heading1"/>
      </w:pPr>
      <w:r>
        <w:t>Отказ от права във връзка с езика</w:t>
      </w:r>
    </w:p>
    <w:p w:rsidR="004320F9" w:rsidRPr="00377C0C" w:rsidRDefault="004320F9" w:rsidP="004320F9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2009 г. насам в колко случая сте използвали един от работните езици на Комисията (английски, френски или немски) за комуникация с Комисията?</w:t>
      </w:r>
    </w:p>
    <w:p w:rsidR="004320F9" w:rsidRPr="00377C0C" w:rsidRDefault="004320F9" w:rsidP="0023665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Бихте ли се съгласили с прилагането на отказ от права във връзка с езика с цел да се подобри скоростта на процедурата?</w:t>
      </w:r>
    </w:p>
    <w:p w:rsidR="00E26CA6" w:rsidRPr="00377C0C" w:rsidRDefault="00E26CA6" w:rsidP="00E26CA6">
      <w:pPr>
        <w:pStyle w:val="ListNumber"/>
        <w:spacing w:after="0"/>
        <w:ind w:left="360"/>
        <w:rPr>
          <w:szCs w:val="24"/>
        </w:rPr>
      </w:pPr>
    </w:p>
    <w:p w:rsidR="00E26CA6" w:rsidRPr="00377C0C" w:rsidRDefault="00E26CA6" w:rsidP="00AA449D">
      <w:pPr>
        <w:pStyle w:val="Standard"/>
        <w:tabs>
          <w:tab w:val="left" w:pos="360"/>
        </w:tabs>
        <w:rPr>
          <w:rFonts w:ascii="Times New Roman" w:hAnsi="Times New Roman" w:cs="Times New Roman"/>
          <w:b/>
          <w:smallCaps/>
          <w:sz w:val="28"/>
          <w:szCs w:val="28"/>
          <w:shd w:val="clear" w:color="auto" w:fill="003366"/>
        </w:rPr>
      </w:pPr>
      <w:r>
        <w:rPr>
          <w:rFonts w:ascii="Times New Roman" w:hAnsi="Times New Roman"/>
          <w:b/>
          <w:smallCaps/>
          <w:sz w:val="28"/>
          <w:shd w:val="clear" w:color="auto" w:fill="003366"/>
        </w:rPr>
        <w:t>Раздел В: Нови теми за разглеждане в Кодекса на най-добри практики</w:t>
      </w:r>
    </w:p>
    <w:p w:rsidR="00E073BE" w:rsidRPr="00377C0C" w:rsidRDefault="00E073BE" w:rsidP="005F03AF">
      <w:pPr>
        <w:pStyle w:val="Heading1"/>
      </w:pPr>
      <w:r>
        <w:lastRenderedPageBreak/>
        <w:t>Общи положения</w:t>
      </w:r>
    </w:p>
    <w:p w:rsidR="002A1590" w:rsidRPr="00377C0C" w:rsidRDefault="00A92CEF" w:rsidP="002A1590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През 2013 г. Процедурният регламент за държавните помощи</w:t>
      </w:r>
      <w:r>
        <w:rPr>
          <w:rStyle w:val="FootnoteReference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 бе изменен.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резултат на това редица нови елементи бяха въведени, като нов формуляр за жалби и възможността на Комисията да налага глоби при липсата на отговор на искания за пазарна информация. Това изменение беше част от по-общото модернизиране на държавната помощ, с което бяха предоставени повече отговорности на държавите членки при изготвянето и прилагането на мерки за подпомагане, като в същото време се рационализира и актуализира рамката за правилата за държавна помощ.</w:t>
      </w:r>
      <w:r w:rsidR="00A702E4">
        <w:rPr>
          <w:rFonts w:ascii="Times New Roman" w:hAnsi="Times New Roman"/>
          <w:sz w:val="24"/>
        </w:rPr>
        <w:t xml:space="preserve"> </w:t>
      </w:r>
    </w:p>
    <w:p w:rsidR="005E3B0B" w:rsidRDefault="00A92CEF" w:rsidP="002A1590">
      <w:pPr>
        <w:pStyle w:val="Standard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След преразглеждането на Процедурния регламент и след процеса за модернизиране на държавната помощ какви промени биха могли да бъдат въведени, за да стане Кодексът по-полезен?</w:t>
      </w:r>
      <w:r w:rsidR="00A702E4">
        <w:rPr>
          <w:rFonts w:ascii="Times New Roman" w:hAnsi="Times New Roman"/>
          <w:sz w:val="24"/>
        </w:rPr>
        <w:t xml:space="preserve"> </w:t>
      </w:r>
    </w:p>
    <w:p w:rsidR="00885B8C" w:rsidRPr="00377C0C" w:rsidRDefault="00D85BC3" w:rsidP="001D2417">
      <w:pPr>
        <w:pStyle w:val="Standard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обяснете защо.</w:t>
      </w:r>
    </w:p>
    <w:p w:rsidR="00152E7D" w:rsidRPr="00377C0C" w:rsidRDefault="00D85BC3" w:rsidP="00D20F0D">
      <w:pPr>
        <w:pStyle w:val="Heading1"/>
      </w:pPr>
      <w:r>
        <w:t xml:space="preserve">Секторни разследвания и искания за информация </w:t>
      </w:r>
    </w:p>
    <w:p w:rsidR="00152E7D" w:rsidRPr="00377C0C" w:rsidRDefault="00152E7D" w:rsidP="002A1590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Процедурният регламент дава възможност на Комисията да извърши разследване на конкретен сектор на икономиката или на използването на инструмент за помощ в държавите членки. Считате ли, че е полезно да се предложат насоки относно подобно разследване в рамките на Кодекса?</w:t>
      </w:r>
    </w:p>
    <w:p w:rsidR="00D85BC3" w:rsidRPr="00377C0C" w:rsidRDefault="00D85BC3" w:rsidP="002A1590">
      <w:pPr>
        <w:numPr>
          <w:ilvl w:val="0"/>
          <w:numId w:val="2"/>
        </w:numPr>
      </w:pPr>
      <w:r>
        <w:t>Процедурният регламент дава възможност на Комисията да задава въпроси на предприятия след откриването на официалната процедура по разследване. Считате ли, че е полезно да се предложат насоки относно подобни инструменти за проучване на пазара в рамките на Кодекса?</w:t>
      </w:r>
    </w:p>
    <w:p w:rsidR="00E073BE" w:rsidRPr="00377C0C" w:rsidRDefault="005D02BA" w:rsidP="005F03AF">
      <w:pPr>
        <w:pStyle w:val="Heading1"/>
      </w:pPr>
      <w:r>
        <w:t xml:space="preserve">Засилена координация </w:t>
      </w:r>
    </w:p>
    <w:p w:rsidR="00E073BE" w:rsidRPr="00377C0C" w:rsidRDefault="005C0542" w:rsidP="001D2417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 да подпомогне модернизирането на държавната помощ и да даде възможност за връзка с държавите членки, ГД „Конкуренция“ изгради мрежа от лица за контакти за отделните държави. Следва ли Кодексът да посочва тази мрежа и да обяснява нейната роля?</w:t>
      </w:r>
    </w:p>
    <w:p w:rsidR="00087FD5" w:rsidRPr="00377C0C" w:rsidRDefault="00087FD5" w:rsidP="00072018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Имате ли някакви предложения относно начина, по който сътрудничеството между ГД „Конкуренция“ и мрежата от лица за контакти за отделните държави би могло да се подобри?</w:t>
      </w:r>
    </w:p>
    <w:p w:rsidR="00E073BE" w:rsidRPr="00377C0C" w:rsidRDefault="00755D17" w:rsidP="002A1590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Следва ли Кодексът да посочва и обяснява </w:t>
      </w:r>
      <w:proofErr w:type="spellStart"/>
      <w:r>
        <w:rPr>
          <w:rFonts w:ascii="Times New Roman" w:hAnsi="Times New Roman"/>
          <w:sz w:val="24"/>
        </w:rPr>
        <w:t>портфейлния</w:t>
      </w:r>
      <w:proofErr w:type="spellEnd"/>
      <w:r>
        <w:rPr>
          <w:rFonts w:ascii="Times New Roman" w:hAnsi="Times New Roman"/>
          <w:sz w:val="24"/>
        </w:rPr>
        <w:t xml:space="preserve"> подход за разглеждането на случаите? Например процеса, при който държавите членки и Комисията се договарят относно процеса за навременното изпълнение на група от случаи, като по всяка вероятност други случаи остават на заден план?</w:t>
      </w:r>
    </w:p>
    <w:p w:rsidR="006B7024" w:rsidRPr="00377C0C" w:rsidRDefault="009E4F2B" w:rsidP="005F03AF">
      <w:pPr>
        <w:pStyle w:val="Heading1"/>
      </w:pPr>
      <w:r>
        <w:lastRenderedPageBreak/>
        <w:t xml:space="preserve"> Партньорство с държавите членки за модернизирането на държавната помощ</w:t>
      </w:r>
    </w:p>
    <w:p w:rsidR="009E4F2B" w:rsidRPr="00377C0C" w:rsidRDefault="009E4F2B" w:rsidP="00072018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За да подпомогне модернизирането на държавната помощ и да даде възможност за навлизането ѝ на национално ниво, Комисията насърчи засилено партньорство с държавите членки. Как би могъл Кодексът да отрази, по Ваше мнение, практиките на партньорството?</w:t>
      </w:r>
    </w:p>
    <w:p w:rsidR="00A92CEF" w:rsidRPr="00377C0C" w:rsidRDefault="00D27EE5" w:rsidP="00A92CEF">
      <w:pPr>
        <w:pStyle w:val="Heading1"/>
      </w:pPr>
      <w:r>
        <w:t xml:space="preserve"> Наблюдение</w:t>
      </w:r>
    </w:p>
    <w:p w:rsidR="00847AF5" w:rsidRDefault="00A92CEF" w:rsidP="001D2417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След преразглеждането на правилата за държавната помощ в контекста на процеса на модернизиране на държавната помощ значителен брой мерки бяха изпълнени от държавите членки съгласно Общия регламент за групово освобождаване и бяха подложени на </w:t>
      </w:r>
      <w:proofErr w:type="spellStart"/>
      <w:r>
        <w:rPr>
          <w:rFonts w:ascii="Times New Roman" w:hAnsi="Times New Roman"/>
          <w:sz w:val="24"/>
        </w:rPr>
        <w:t>последващо</w:t>
      </w:r>
      <w:proofErr w:type="spellEnd"/>
      <w:r>
        <w:rPr>
          <w:rFonts w:ascii="Times New Roman" w:hAnsi="Times New Roman"/>
          <w:sz w:val="24"/>
        </w:rPr>
        <w:t xml:space="preserve"> наблюдение от страна на Комисията.</w:t>
      </w:r>
      <w:r w:rsidR="00A702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Смятате ли, че е от полза наблюдението и неговите цели да бъдат посочени в Кодекса? </w:t>
      </w:r>
    </w:p>
    <w:p w:rsidR="00A92CEF" w:rsidRDefault="00A92CEF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Моля, обяснете защо.</w:t>
      </w:r>
    </w:p>
    <w:p w:rsidR="00847AF5" w:rsidRPr="00377C0C" w:rsidRDefault="00847AF5" w:rsidP="001D2417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CA6" w:rsidRPr="00377C0C" w:rsidRDefault="00E26CA6" w:rsidP="0075634B">
      <w:pPr>
        <w:pStyle w:val="Standard"/>
        <w:keepNext/>
        <w:tabs>
          <w:tab w:val="left" w:pos="360"/>
        </w:tabs>
      </w:pPr>
      <w:r>
        <w:rPr>
          <w:rFonts w:ascii="Times New Roman" w:hAnsi="Times New Roman"/>
          <w:b/>
          <w:smallCaps/>
          <w:sz w:val="28"/>
          <w:shd w:val="clear" w:color="auto" w:fill="003366"/>
        </w:rPr>
        <w:t>Раздел Г: Други</w:t>
      </w:r>
    </w:p>
    <w:p w:rsidR="00847AF5" w:rsidRDefault="00E26CA6" w:rsidP="001D2417">
      <w:pPr>
        <w:pStyle w:val="ListNumber"/>
        <w:keepNext/>
        <w:numPr>
          <w:ilvl w:val="0"/>
          <w:numId w:val="2"/>
        </w:numPr>
        <w:spacing w:after="0"/>
      </w:pPr>
      <w:r>
        <w:t xml:space="preserve">Имате ли някакви други коментари или документи във връзка с прилагането на Кодекса? </w:t>
      </w:r>
    </w:p>
    <w:p w:rsidR="00E26CA6" w:rsidRDefault="00847AF5" w:rsidP="001D2417">
      <w:pPr>
        <w:pStyle w:val="ListNumber"/>
        <w:keepNext/>
        <w:spacing w:after="0"/>
        <w:ind w:left="720"/>
      </w:pPr>
      <w:r>
        <w:t xml:space="preserve">Моля да ни предоставите копие от тези документи. </w:t>
      </w:r>
    </w:p>
    <w:p w:rsidR="00847AF5" w:rsidRPr="00377C0C" w:rsidRDefault="00847AF5" w:rsidP="001D2417">
      <w:pPr>
        <w:pStyle w:val="ListNumber"/>
        <w:keepNext/>
        <w:spacing w:after="0"/>
        <w:ind w:left="720"/>
      </w:pPr>
    </w:p>
    <w:p w:rsidR="00E26CA6" w:rsidRPr="00377C0C" w:rsidRDefault="00E26CA6" w:rsidP="00072018">
      <w:pPr>
        <w:pStyle w:val="ListNumber"/>
        <w:keepNext/>
        <w:numPr>
          <w:ilvl w:val="0"/>
          <w:numId w:val="2"/>
        </w:numPr>
      </w:pPr>
      <w:r>
        <w:t>Моля, посочете дали службите на Комисията могат да се свържат с Вас за допълнителни подробности относно предоставената от Вас информация.</w:t>
      </w:r>
    </w:p>
    <w:p w:rsidR="00E26CA6" w:rsidRPr="00377C0C" w:rsidRDefault="00E26CA6" w:rsidP="001D2417">
      <w:pPr>
        <w:pStyle w:val="ListNumber"/>
        <w:keepNext/>
        <w:ind w:firstLine="720"/>
      </w:pPr>
      <w:r>
        <w:t>Да</w:t>
      </w:r>
      <w:r w:rsidR="004E0EF6" w:rsidRPr="00377C0C">
        <w:t></w:t>
      </w:r>
      <w:r w:rsidR="004E0EF6" w:rsidRPr="000E528A">
        <w:t xml:space="preserve"> </w:t>
      </w:r>
      <w:r>
        <w:tab/>
        <w:t>Не</w:t>
      </w:r>
      <w:r w:rsidR="004E0EF6" w:rsidRPr="00377C0C">
        <w:t></w:t>
      </w:r>
    </w:p>
    <w:p w:rsidR="00E26CA6" w:rsidRPr="00377C0C" w:rsidRDefault="00E26CA6" w:rsidP="00E26CA6">
      <w:pPr>
        <w:pStyle w:val="Standard"/>
        <w:spacing w:after="0"/>
        <w:jc w:val="both"/>
        <w:rPr>
          <w:rFonts w:ascii="Times New Roman" w:hAnsi="Times New Roman"/>
          <w:b/>
          <w:smallCaps/>
          <w:sz w:val="28"/>
          <w:szCs w:val="28"/>
          <w:shd w:val="clear" w:color="auto" w:fill="003366"/>
        </w:rPr>
      </w:pPr>
    </w:p>
    <w:p w:rsidR="00E26CA6" w:rsidRPr="00377C0C" w:rsidRDefault="00E26CA6" w:rsidP="00E26CA6">
      <w:pPr>
        <w:pStyle w:val="Standard"/>
      </w:pPr>
      <w:r>
        <w:rPr>
          <w:rFonts w:ascii="Times New Roman" w:hAnsi="Times New Roman"/>
          <w:b/>
          <w:sz w:val="28"/>
        </w:rPr>
        <w:t>БЛАГОДАРИМ ВИ, ЧЕ ПОПЪЛНИХТЕ ВЪПРОСНИКА.</w:t>
      </w:r>
    </w:p>
    <w:p w:rsidR="00BD58BF" w:rsidRPr="00377C0C" w:rsidRDefault="00BD58BF"/>
    <w:sectPr w:rsidR="00BD58BF" w:rsidRPr="00377C0C">
      <w:footerReference w:type="default" r:id="rId13"/>
      <w:pgSz w:w="11905" w:h="16837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D6" w:rsidRPr="00377C0C" w:rsidRDefault="006B47D6" w:rsidP="00E26CA6">
      <w:r>
        <w:separator/>
      </w:r>
    </w:p>
  </w:endnote>
  <w:endnote w:type="continuationSeparator" w:id="0">
    <w:p w:rsidR="006B47D6" w:rsidRPr="00377C0C" w:rsidRDefault="006B47D6" w:rsidP="00E26CA6">
      <w:r>
        <w:continuationSeparator/>
      </w:r>
    </w:p>
  </w:endnote>
  <w:endnote w:type="continuationNotice" w:id="1">
    <w:p w:rsidR="006B47D6" w:rsidRPr="00377C0C" w:rsidRDefault="006B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BF" w:rsidRPr="00377C0C" w:rsidRDefault="00BD58BF">
    <w:pPr>
      <w:pStyle w:val="Footer"/>
      <w:jc w:val="right"/>
    </w:pPr>
    <w:r w:rsidRPr="00377C0C">
      <w:fldChar w:fldCharType="begin"/>
    </w:r>
    <w:r w:rsidRPr="00377C0C">
      <w:instrText xml:space="preserve"> PAGE   \* MERGEFORMAT </w:instrText>
    </w:r>
    <w:r w:rsidRPr="00377C0C">
      <w:fldChar w:fldCharType="separate"/>
    </w:r>
    <w:r w:rsidR="008535A4">
      <w:rPr>
        <w:noProof/>
      </w:rPr>
      <w:t>2</w:t>
    </w:r>
    <w:r w:rsidRPr="00377C0C">
      <w:fldChar w:fldCharType="end"/>
    </w:r>
  </w:p>
  <w:p w:rsidR="00BD58BF" w:rsidRPr="00377C0C" w:rsidRDefault="00BD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D6" w:rsidRPr="00377C0C" w:rsidRDefault="006B47D6" w:rsidP="00E26CA6">
      <w:r>
        <w:separator/>
      </w:r>
    </w:p>
  </w:footnote>
  <w:footnote w:type="continuationSeparator" w:id="0">
    <w:p w:rsidR="006B47D6" w:rsidRPr="00377C0C" w:rsidRDefault="006B47D6" w:rsidP="00E26CA6">
      <w:r>
        <w:continuationSeparator/>
      </w:r>
    </w:p>
  </w:footnote>
  <w:footnote w:type="continuationNotice" w:id="1">
    <w:p w:rsidR="006B47D6" w:rsidRPr="00377C0C" w:rsidRDefault="006B47D6"/>
  </w:footnote>
  <w:footnote w:id="2">
    <w:p w:rsidR="00E26CA6" w:rsidRPr="00377C0C" w:rsidRDefault="00E26CA6" w:rsidP="00E26CA6">
      <w:pPr>
        <w:pStyle w:val="FootnoteText"/>
      </w:pPr>
      <w:r>
        <w:rPr>
          <w:rStyle w:val="FootnoteReference"/>
        </w:rPr>
        <w:footnoteRef/>
      </w:r>
      <w:r>
        <w:t xml:space="preserve"> ОВ C 136, 16.6.2009 г., стр. 13—20.</w:t>
      </w:r>
    </w:p>
  </w:footnote>
  <w:footnote w:id="3">
    <w:p w:rsidR="001B1DEF" w:rsidRPr="00377C0C" w:rsidRDefault="001B1DEF">
      <w:pPr>
        <w:pStyle w:val="FootnoteText"/>
        <w:rPr>
          <w:rFonts w:eastAsia="Calibri" w:cs="Times New Roman"/>
        </w:rPr>
      </w:pPr>
      <w:r>
        <w:rPr>
          <w:rStyle w:val="FootnoteReference"/>
        </w:rPr>
        <w:footnoteRef/>
      </w:r>
      <w:r>
        <w:t xml:space="preserve"> </w:t>
      </w:r>
      <w:hyperlink r:id="rId1">
        <w:r>
          <w:t>Регламент (ЕС) № 2015/1589 на Съвета от 13 юли 2015 г. за установяване на подробни правила за прилагането на член 108 от Договора за функционирането на Европейския съюз</w:t>
        </w:r>
      </w:hyperlink>
      <w:r>
        <w:t xml:space="preserve"> (ОВ L 248, 24.9.2015 г., стр. 9—29).</w:t>
      </w:r>
    </w:p>
  </w:footnote>
  <w:footnote w:id="4">
    <w:p w:rsidR="000F4213" w:rsidRPr="00377C0C" w:rsidRDefault="000F42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>
        <w:r>
          <w:t>Регламент (ЕС) 2015/1589 на Съвета от 13 юли 2015 г. за установяване на подробни правила за прилагането на член 108 от Договора за функционирането на Европейския съюз</w:t>
        </w:r>
      </w:hyperlink>
      <w:r>
        <w:t xml:space="preserve"> (ОВ L 248, 24.9.2015 г., стр. 9), който заменя </w:t>
      </w:r>
      <w:hyperlink r:id="rId3">
        <w:r>
          <w:t>Регламент (ЕО) № 659/1999 на Съвета от 22 март 1999 г. относно установяването на подробни правила за прилагането на член 108 от Договора за функционирането на Европейския съюз</w:t>
        </w:r>
      </w:hyperlink>
      <w:r>
        <w:t xml:space="preserve"> (ОВ L 83, 27.3.1999 г., стр.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346"/>
    <w:multiLevelType w:val="hybridMultilevel"/>
    <w:tmpl w:val="668C8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2320"/>
    <w:multiLevelType w:val="multilevel"/>
    <w:tmpl w:val="7036312E"/>
    <w:styleLink w:val="WWOutlineListStyle8"/>
    <w:lvl w:ilvl="0">
      <w:start w:val="1"/>
      <w:numFmt w:val="decimal"/>
      <w:pStyle w:val="Heading1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ind w:left="2880" w:hanging="960"/>
      </w:pPr>
      <w:rPr>
        <w:rFonts w:cs="Times New Roman"/>
      </w:r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215169AB"/>
    <w:multiLevelType w:val="hybridMultilevel"/>
    <w:tmpl w:val="13A6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01743"/>
    <w:multiLevelType w:val="hybridMultilevel"/>
    <w:tmpl w:val="204A3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3686"/>
    <w:multiLevelType w:val="multilevel"/>
    <w:tmpl w:val="2F343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139"/>
    <w:multiLevelType w:val="multilevel"/>
    <w:tmpl w:val="2F343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1840"/>
    <w:multiLevelType w:val="multilevel"/>
    <w:tmpl w:val="FE5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D1720"/>
    <w:multiLevelType w:val="hybridMultilevel"/>
    <w:tmpl w:val="C46AB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554A"/>
    <w:multiLevelType w:val="hybridMultilevel"/>
    <w:tmpl w:val="6310B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A59AE"/>
    <w:multiLevelType w:val="hybridMultilevel"/>
    <w:tmpl w:val="719C0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306C6"/>
    <w:multiLevelType w:val="hybridMultilevel"/>
    <w:tmpl w:val="1B34E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F1B8C"/>
    <w:multiLevelType w:val="hybridMultilevel"/>
    <w:tmpl w:val="E5244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BFC"/>
    <w:multiLevelType w:val="multilevel"/>
    <w:tmpl w:val="2F343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D5563"/>
    <w:multiLevelType w:val="hybridMultilevel"/>
    <w:tmpl w:val="EE2E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7043B"/>
    <w:multiLevelType w:val="multilevel"/>
    <w:tmpl w:val="2F343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E1E2D"/>
    <w:multiLevelType w:val="hybridMultilevel"/>
    <w:tmpl w:val="C388D5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COMP\COMP-2016-01174\COMP-2016-01174-00-00-EN-REV-00.201610130913564027976.DOC"/>
  </w:docVars>
  <w:rsids>
    <w:rsidRoot w:val="00E26CA6"/>
    <w:rsid w:val="00005B64"/>
    <w:rsid w:val="000215BA"/>
    <w:rsid w:val="00026586"/>
    <w:rsid w:val="00026F6A"/>
    <w:rsid w:val="0004060C"/>
    <w:rsid w:val="00072018"/>
    <w:rsid w:val="00075701"/>
    <w:rsid w:val="00075782"/>
    <w:rsid w:val="00082E03"/>
    <w:rsid w:val="00087FD5"/>
    <w:rsid w:val="00093ECA"/>
    <w:rsid w:val="000A06E5"/>
    <w:rsid w:val="000A6781"/>
    <w:rsid w:val="000B24C4"/>
    <w:rsid w:val="000E528A"/>
    <w:rsid w:val="000F1BF6"/>
    <w:rsid w:val="000F2ED8"/>
    <w:rsid w:val="000F4213"/>
    <w:rsid w:val="000F63B3"/>
    <w:rsid w:val="0010342A"/>
    <w:rsid w:val="001307F2"/>
    <w:rsid w:val="001334F2"/>
    <w:rsid w:val="001364CF"/>
    <w:rsid w:val="001404E1"/>
    <w:rsid w:val="00152E7D"/>
    <w:rsid w:val="00164BE1"/>
    <w:rsid w:val="00171192"/>
    <w:rsid w:val="0017336A"/>
    <w:rsid w:val="0018435F"/>
    <w:rsid w:val="00187107"/>
    <w:rsid w:val="00192FE3"/>
    <w:rsid w:val="001B1DEF"/>
    <w:rsid w:val="001B3046"/>
    <w:rsid w:val="001B339E"/>
    <w:rsid w:val="001B6DD1"/>
    <w:rsid w:val="001C0EE8"/>
    <w:rsid w:val="001C6CC7"/>
    <w:rsid w:val="001C7129"/>
    <w:rsid w:val="001D2417"/>
    <w:rsid w:val="001E7004"/>
    <w:rsid w:val="002107A4"/>
    <w:rsid w:val="0021285F"/>
    <w:rsid w:val="00214F94"/>
    <w:rsid w:val="00221178"/>
    <w:rsid w:val="002254BA"/>
    <w:rsid w:val="00230220"/>
    <w:rsid w:val="00236657"/>
    <w:rsid w:val="00242164"/>
    <w:rsid w:val="00254946"/>
    <w:rsid w:val="002605DD"/>
    <w:rsid w:val="0026673F"/>
    <w:rsid w:val="00270949"/>
    <w:rsid w:val="00271C5A"/>
    <w:rsid w:val="00284962"/>
    <w:rsid w:val="00290CA2"/>
    <w:rsid w:val="00294730"/>
    <w:rsid w:val="002A1590"/>
    <w:rsid w:val="002B121E"/>
    <w:rsid w:val="002B686E"/>
    <w:rsid w:val="002C22D6"/>
    <w:rsid w:val="002C38BA"/>
    <w:rsid w:val="002F2D0B"/>
    <w:rsid w:val="00307E75"/>
    <w:rsid w:val="00342BB2"/>
    <w:rsid w:val="00344BC0"/>
    <w:rsid w:val="003477DD"/>
    <w:rsid w:val="003520CD"/>
    <w:rsid w:val="00356E10"/>
    <w:rsid w:val="00362EE3"/>
    <w:rsid w:val="00372914"/>
    <w:rsid w:val="0037478B"/>
    <w:rsid w:val="00374A79"/>
    <w:rsid w:val="00377C0C"/>
    <w:rsid w:val="003C49EF"/>
    <w:rsid w:val="003D339E"/>
    <w:rsid w:val="003D4A95"/>
    <w:rsid w:val="003E4713"/>
    <w:rsid w:val="003F6310"/>
    <w:rsid w:val="004320F9"/>
    <w:rsid w:val="00432738"/>
    <w:rsid w:val="00437913"/>
    <w:rsid w:val="00455723"/>
    <w:rsid w:val="0047215B"/>
    <w:rsid w:val="00472F19"/>
    <w:rsid w:val="00476B21"/>
    <w:rsid w:val="00480672"/>
    <w:rsid w:val="0048757F"/>
    <w:rsid w:val="00497AF4"/>
    <w:rsid w:val="004A0F48"/>
    <w:rsid w:val="004C0307"/>
    <w:rsid w:val="004D7438"/>
    <w:rsid w:val="004E0337"/>
    <w:rsid w:val="004E08E3"/>
    <w:rsid w:val="004E0EF6"/>
    <w:rsid w:val="005400FF"/>
    <w:rsid w:val="00574327"/>
    <w:rsid w:val="005838BE"/>
    <w:rsid w:val="0058612E"/>
    <w:rsid w:val="005A25A7"/>
    <w:rsid w:val="005A5637"/>
    <w:rsid w:val="005B5AD4"/>
    <w:rsid w:val="005C0542"/>
    <w:rsid w:val="005C5079"/>
    <w:rsid w:val="005D02BA"/>
    <w:rsid w:val="005E3B0B"/>
    <w:rsid w:val="005E5ABE"/>
    <w:rsid w:val="005F03AF"/>
    <w:rsid w:val="0061594B"/>
    <w:rsid w:val="00616E3B"/>
    <w:rsid w:val="006225F5"/>
    <w:rsid w:val="00637402"/>
    <w:rsid w:val="0064559A"/>
    <w:rsid w:val="0065367A"/>
    <w:rsid w:val="00682070"/>
    <w:rsid w:val="00683BE4"/>
    <w:rsid w:val="006B47D6"/>
    <w:rsid w:val="006B4FDD"/>
    <w:rsid w:val="006B7024"/>
    <w:rsid w:val="006C5BCA"/>
    <w:rsid w:val="006D1309"/>
    <w:rsid w:val="006E3E7A"/>
    <w:rsid w:val="006E7012"/>
    <w:rsid w:val="00702387"/>
    <w:rsid w:val="00712DC0"/>
    <w:rsid w:val="00717074"/>
    <w:rsid w:val="00722730"/>
    <w:rsid w:val="0075347F"/>
    <w:rsid w:val="00755150"/>
    <w:rsid w:val="00755D17"/>
    <w:rsid w:val="0075634B"/>
    <w:rsid w:val="00761032"/>
    <w:rsid w:val="0078608F"/>
    <w:rsid w:val="007926B6"/>
    <w:rsid w:val="007B5435"/>
    <w:rsid w:val="007B6308"/>
    <w:rsid w:val="007B79D1"/>
    <w:rsid w:val="007C14AE"/>
    <w:rsid w:val="007C5761"/>
    <w:rsid w:val="007C721E"/>
    <w:rsid w:val="00807298"/>
    <w:rsid w:val="008108C2"/>
    <w:rsid w:val="008138D5"/>
    <w:rsid w:val="00817D74"/>
    <w:rsid w:val="008447E2"/>
    <w:rsid w:val="00847AF5"/>
    <w:rsid w:val="00853199"/>
    <w:rsid w:val="008535A4"/>
    <w:rsid w:val="00884C20"/>
    <w:rsid w:val="008853AC"/>
    <w:rsid w:val="00885B8C"/>
    <w:rsid w:val="008A0DA5"/>
    <w:rsid w:val="008A32D9"/>
    <w:rsid w:val="008C1F8B"/>
    <w:rsid w:val="008F5931"/>
    <w:rsid w:val="0091686C"/>
    <w:rsid w:val="00916BFC"/>
    <w:rsid w:val="009173E5"/>
    <w:rsid w:val="00922758"/>
    <w:rsid w:val="00922EE8"/>
    <w:rsid w:val="00924562"/>
    <w:rsid w:val="009273C9"/>
    <w:rsid w:val="00943FC5"/>
    <w:rsid w:val="00954DC2"/>
    <w:rsid w:val="0096156A"/>
    <w:rsid w:val="00962EED"/>
    <w:rsid w:val="009732FC"/>
    <w:rsid w:val="00991765"/>
    <w:rsid w:val="0099478D"/>
    <w:rsid w:val="009C5A91"/>
    <w:rsid w:val="009C68F6"/>
    <w:rsid w:val="009D25A9"/>
    <w:rsid w:val="009D6D94"/>
    <w:rsid w:val="009E3DFD"/>
    <w:rsid w:val="009E4F2B"/>
    <w:rsid w:val="009F0FE3"/>
    <w:rsid w:val="009F4825"/>
    <w:rsid w:val="00A06E33"/>
    <w:rsid w:val="00A24DBD"/>
    <w:rsid w:val="00A54A64"/>
    <w:rsid w:val="00A5744D"/>
    <w:rsid w:val="00A62993"/>
    <w:rsid w:val="00A67ECB"/>
    <w:rsid w:val="00A702E4"/>
    <w:rsid w:val="00A8368D"/>
    <w:rsid w:val="00A902FE"/>
    <w:rsid w:val="00A92188"/>
    <w:rsid w:val="00A92CEF"/>
    <w:rsid w:val="00AA251D"/>
    <w:rsid w:val="00AA449D"/>
    <w:rsid w:val="00AC1223"/>
    <w:rsid w:val="00AD45A8"/>
    <w:rsid w:val="00B102D2"/>
    <w:rsid w:val="00B11157"/>
    <w:rsid w:val="00B113C1"/>
    <w:rsid w:val="00B2707B"/>
    <w:rsid w:val="00B36323"/>
    <w:rsid w:val="00B92BCD"/>
    <w:rsid w:val="00B96724"/>
    <w:rsid w:val="00BC4A6F"/>
    <w:rsid w:val="00BC7C39"/>
    <w:rsid w:val="00BD4DA0"/>
    <w:rsid w:val="00BD58BF"/>
    <w:rsid w:val="00BE23BC"/>
    <w:rsid w:val="00BE467C"/>
    <w:rsid w:val="00BE5294"/>
    <w:rsid w:val="00BE57CD"/>
    <w:rsid w:val="00BE6825"/>
    <w:rsid w:val="00C11519"/>
    <w:rsid w:val="00C1737B"/>
    <w:rsid w:val="00C24919"/>
    <w:rsid w:val="00C447F8"/>
    <w:rsid w:val="00C72136"/>
    <w:rsid w:val="00CB63AF"/>
    <w:rsid w:val="00CD5268"/>
    <w:rsid w:val="00CE30A0"/>
    <w:rsid w:val="00D11D05"/>
    <w:rsid w:val="00D175C2"/>
    <w:rsid w:val="00D20F0D"/>
    <w:rsid w:val="00D27EE5"/>
    <w:rsid w:val="00D45238"/>
    <w:rsid w:val="00D55ACA"/>
    <w:rsid w:val="00D56855"/>
    <w:rsid w:val="00D57C09"/>
    <w:rsid w:val="00D60CA9"/>
    <w:rsid w:val="00D73438"/>
    <w:rsid w:val="00D85BC3"/>
    <w:rsid w:val="00D94495"/>
    <w:rsid w:val="00D97B3D"/>
    <w:rsid w:val="00DC0737"/>
    <w:rsid w:val="00DC3FCB"/>
    <w:rsid w:val="00DC478C"/>
    <w:rsid w:val="00DC5E1F"/>
    <w:rsid w:val="00DC6DCC"/>
    <w:rsid w:val="00DE711C"/>
    <w:rsid w:val="00E073BE"/>
    <w:rsid w:val="00E07D2D"/>
    <w:rsid w:val="00E26CA6"/>
    <w:rsid w:val="00E310EB"/>
    <w:rsid w:val="00E343E7"/>
    <w:rsid w:val="00E43897"/>
    <w:rsid w:val="00E66B0C"/>
    <w:rsid w:val="00EA5495"/>
    <w:rsid w:val="00EC506D"/>
    <w:rsid w:val="00EE0AE7"/>
    <w:rsid w:val="00F07F7F"/>
    <w:rsid w:val="00F111F5"/>
    <w:rsid w:val="00F127F1"/>
    <w:rsid w:val="00F34F3B"/>
    <w:rsid w:val="00F46B5D"/>
    <w:rsid w:val="00F55E89"/>
    <w:rsid w:val="00F75864"/>
    <w:rsid w:val="00F820B5"/>
    <w:rsid w:val="00F82CCF"/>
    <w:rsid w:val="00FA677B"/>
    <w:rsid w:val="00FB345B"/>
    <w:rsid w:val="00FB7D1E"/>
    <w:rsid w:val="00FC0377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CA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eading1">
    <w:name w:val="heading 1"/>
    <w:basedOn w:val="Standard"/>
    <w:next w:val="Text1"/>
    <w:link w:val="Heading1Char"/>
    <w:rsid w:val="00E26CA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Heading2">
    <w:name w:val="heading 2"/>
    <w:basedOn w:val="Standard"/>
    <w:next w:val="Standard"/>
    <w:link w:val="Heading2Char"/>
    <w:rsid w:val="00E26CA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Standard"/>
    <w:next w:val="Standard"/>
    <w:link w:val="Heading3Char"/>
    <w:rsid w:val="00E26CA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Heading4">
    <w:name w:val="heading 4"/>
    <w:basedOn w:val="Standard"/>
    <w:next w:val="Standard"/>
    <w:link w:val="Heading4Char"/>
    <w:rsid w:val="00E26CA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CA6"/>
    <w:rPr>
      <w:rFonts w:eastAsia="Times New Roman" w:cs="Calibri"/>
      <w:b/>
      <w:smallCaps/>
      <w:kern w:val="3"/>
      <w:sz w:val="24"/>
    </w:rPr>
  </w:style>
  <w:style w:type="character" w:customStyle="1" w:styleId="Heading2Char">
    <w:name w:val="Heading 2 Char"/>
    <w:link w:val="Heading2"/>
    <w:rsid w:val="00E26CA6"/>
    <w:rPr>
      <w:rFonts w:eastAsia="Times New Roman" w:cs="Calibri"/>
      <w:b/>
      <w:kern w:val="3"/>
      <w:sz w:val="24"/>
    </w:rPr>
  </w:style>
  <w:style w:type="character" w:customStyle="1" w:styleId="Heading3Char">
    <w:name w:val="Heading 3 Char"/>
    <w:link w:val="Heading3"/>
    <w:rsid w:val="00E26CA6"/>
    <w:rPr>
      <w:rFonts w:eastAsia="Times New Roman" w:cs="Calibri"/>
      <w:i/>
      <w:kern w:val="3"/>
      <w:sz w:val="24"/>
    </w:rPr>
  </w:style>
  <w:style w:type="character" w:customStyle="1" w:styleId="Heading4Char">
    <w:name w:val="Heading 4 Char"/>
    <w:link w:val="Heading4"/>
    <w:rsid w:val="00E26CA6"/>
    <w:rPr>
      <w:rFonts w:eastAsia="Times New Roman" w:cs="Calibri"/>
      <w:kern w:val="3"/>
      <w:sz w:val="24"/>
    </w:rPr>
  </w:style>
  <w:style w:type="numbering" w:customStyle="1" w:styleId="WWOutlineListStyle8">
    <w:name w:val="WW_OutlineListStyle_8"/>
    <w:basedOn w:val="NoList"/>
    <w:rsid w:val="00E26CA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26C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6CA6"/>
    <w:rPr>
      <w:rFonts w:eastAsia="Lucida Sans Unicode" w:cs="Tahoma"/>
      <w:kern w:val="3"/>
      <w:sz w:val="24"/>
      <w:szCs w:val="24"/>
      <w:lang w:val="bg-BG"/>
    </w:rPr>
  </w:style>
  <w:style w:type="paragraph" w:styleId="FootnoteText">
    <w:name w:val="footnote text"/>
    <w:basedOn w:val="Normal"/>
    <w:rsid w:val="00E26CA6"/>
    <w:rPr>
      <w:sz w:val="20"/>
      <w:szCs w:val="20"/>
    </w:rPr>
  </w:style>
  <w:style w:type="character" w:customStyle="1" w:styleId="FootnoteTextChar">
    <w:name w:val="Footnote Text Char"/>
    <w:rsid w:val="00E26CA6"/>
    <w:rPr>
      <w:rFonts w:eastAsia="Lucida Sans Unicode" w:cs="Tahoma"/>
      <w:kern w:val="3"/>
      <w:lang w:val="bg-BG"/>
    </w:rPr>
  </w:style>
  <w:style w:type="character" w:styleId="Hyperlink">
    <w:name w:val="Hyperlink"/>
    <w:rsid w:val="00E26CA6"/>
    <w:rPr>
      <w:color w:val="0000FF"/>
      <w:u w:val="single"/>
    </w:rPr>
  </w:style>
  <w:style w:type="paragraph" w:customStyle="1" w:styleId="Standard">
    <w:name w:val="Standard"/>
    <w:rsid w:val="00E26CA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customStyle="1" w:styleId="Footnote">
    <w:name w:val="Footnote"/>
    <w:basedOn w:val="Standard"/>
    <w:rsid w:val="00E26CA6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ZCom">
    <w:name w:val="Z_Com"/>
    <w:basedOn w:val="Standard"/>
    <w:next w:val="ZDGName"/>
    <w:rsid w:val="00E26CA6"/>
    <w:pPr>
      <w:widowControl w:val="0"/>
      <w:autoSpaceDE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DGName">
    <w:name w:val="Z_DGName"/>
    <w:basedOn w:val="Standard"/>
    <w:rsid w:val="00E26CA6"/>
    <w:pPr>
      <w:widowControl w:val="0"/>
      <w:autoSpaceDE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customStyle="1" w:styleId="NumPar1">
    <w:name w:val="NumPar 1"/>
    <w:basedOn w:val="Standard"/>
    <w:next w:val="Standard"/>
    <w:rsid w:val="00E26CA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Standard"/>
    <w:rsid w:val="00E26CA6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Standard"/>
    <w:rsid w:val="00E26CA6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Standard"/>
    <w:rsid w:val="00E26CA6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Standard"/>
    <w:rsid w:val="00E26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E26CA6"/>
    <w:rPr>
      <w:color w:val="0000FF"/>
      <w:u w:val="single"/>
    </w:rPr>
  </w:style>
  <w:style w:type="character" w:styleId="FootnoteReference">
    <w:name w:val="footnote reference"/>
    <w:rsid w:val="00E26CA6"/>
    <w:rPr>
      <w:position w:val="0"/>
      <w:vertAlign w:val="superscript"/>
    </w:rPr>
  </w:style>
  <w:style w:type="paragraph" w:customStyle="1" w:styleId="Body">
    <w:name w:val="Body"/>
    <w:rsid w:val="001B1D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BC0"/>
    <w:rPr>
      <w:rFonts w:ascii="Tahoma" w:eastAsia="Lucida Sans Unicode" w:hAnsi="Tahoma" w:cs="Tahoma"/>
      <w:kern w:val="3"/>
      <w:sz w:val="16"/>
      <w:szCs w:val="16"/>
      <w:lang w:val="bg-BG"/>
    </w:rPr>
  </w:style>
  <w:style w:type="character" w:styleId="CommentReference">
    <w:name w:val="annotation reference"/>
    <w:uiPriority w:val="99"/>
    <w:semiHidden/>
    <w:unhideWhenUsed/>
    <w:rsid w:val="00344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4BC0"/>
    <w:rPr>
      <w:rFonts w:eastAsia="Lucida Sans Unicode" w:cs="Tahoma"/>
      <w:kern w:val="3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4BC0"/>
    <w:rPr>
      <w:rFonts w:eastAsia="Lucida Sans Unicode" w:cs="Tahoma"/>
      <w:b/>
      <w:bCs/>
      <w:kern w:val="3"/>
      <w:lang w:val="bg-BG"/>
    </w:rPr>
  </w:style>
  <w:style w:type="paragraph" w:styleId="Revision">
    <w:name w:val="Revision"/>
    <w:hidden/>
    <w:uiPriority w:val="99"/>
    <w:semiHidden/>
    <w:rsid w:val="009C68F6"/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F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1F8B"/>
    <w:rPr>
      <w:rFonts w:eastAsia="Lucida Sans Unicode" w:cs="Tahoma"/>
      <w:kern w:val="3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5C05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Strong">
    <w:name w:val="Strong"/>
    <w:uiPriority w:val="22"/>
    <w:qFormat/>
    <w:rsid w:val="005C0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CA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Heading1">
    <w:name w:val="heading 1"/>
    <w:basedOn w:val="Standard"/>
    <w:next w:val="Text1"/>
    <w:link w:val="Heading1Char"/>
    <w:rsid w:val="00E26CA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Heading2">
    <w:name w:val="heading 2"/>
    <w:basedOn w:val="Standard"/>
    <w:next w:val="Standard"/>
    <w:link w:val="Heading2Char"/>
    <w:rsid w:val="00E26CA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Standard"/>
    <w:next w:val="Standard"/>
    <w:link w:val="Heading3Char"/>
    <w:rsid w:val="00E26CA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Heading4">
    <w:name w:val="heading 4"/>
    <w:basedOn w:val="Standard"/>
    <w:next w:val="Standard"/>
    <w:link w:val="Heading4Char"/>
    <w:rsid w:val="00E26CA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26CA6"/>
    <w:rPr>
      <w:rFonts w:eastAsia="Times New Roman" w:cs="Calibri"/>
      <w:b/>
      <w:smallCaps/>
      <w:kern w:val="3"/>
      <w:sz w:val="24"/>
    </w:rPr>
  </w:style>
  <w:style w:type="character" w:customStyle="1" w:styleId="Heading2Char">
    <w:name w:val="Heading 2 Char"/>
    <w:link w:val="Heading2"/>
    <w:rsid w:val="00E26CA6"/>
    <w:rPr>
      <w:rFonts w:eastAsia="Times New Roman" w:cs="Calibri"/>
      <w:b/>
      <w:kern w:val="3"/>
      <w:sz w:val="24"/>
    </w:rPr>
  </w:style>
  <w:style w:type="character" w:customStyle="1" w:styleId="Heading3Char">
    <w:name w:val="Heading 3 Char"/>
    <w:link w:val="Heading3"/>
    <w:rsid w:val="00E26CA6"/>
    <w:rPr>
      <w:rFonts w:eastAsia="Times New Roman" w:cs="Calibri"/>
      <w:i/>
      <w:kern w:val="3"/>
      <w:sz w:val="24"/>
    </w:rPr>
  </w:style>
  <w:style w:type="character" w:customStyle="1" w:styleId="Heading4Char">
    <w:name w:val="Heading 4 Char"/>
    <w:link w:val="Heading4"/>
    <w:rsid w:val="00E26CA6"/>
    <w:rPr>
      <w:rFonts w:eastAsia="Times New Roman" w:cs="Calibri"/>
      <w:kern w:val="3"/>
      <w:sz w:val="24"/>
    </w:rPr>
  </w:style>
  <w:style w:type="numbering" w:customStyle="1" w:styleId="WWOutlineListStyle8">
    <w:name w:val="WW_OutlineListStyle_8"/>
    <w:basedOn w:val="NoList"/>
    <w:rsid w:val="00E26CA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E26C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6CA6"/>
    <w:rPr>
      <w:rFonts w:eastAsia="Lucida Sans Unicode" w:cs="Tahoma"/>
      <w:kern w:val="3"/>
      <w:sz w:val="24"/>
      <w:szCs w:val="24"/>
      <w:lang w:val="bg-BG"/>
    </w:rPr>
  </w:style>
  <w:style w:type="paragraph" w:styleId="FootnoteText">
    <w:name w:val="footnote text"/>
    <w:basedOn w:val="Normal"/>
    <w:rsid w:val="00E26CA6"/>
    <w:rPr>
      <w:sz w:val="20"/>
      <w:szCs w:val="20"/>
    </w:rPr>
  </w:style>
  <w:style w:type="character" w:customStyle="1" w:styleId="FootnoteTextChar">
    <w:name w:val="Footnote Text Char"/>
    <w:rsid w:val="00E26CA6"/>
    <w:rPr>
      <w:rFonts w:eastAsia="Lucida Sans Unicode" w:cs="Tahoma"/>
      <w:kern w:val="3"/>
      <w:lang w:val="bg-BG"/>
    </w:rPr>
  </w:style>
  <w:style w:type="character" w:styleId="Hyperlink">
    <w:name w:val="Hyperlink"/>
    <w:rsid w:val="00E26CA6"/>
    <w:rPr>
      <w:color w:val="0000FF"/>
      <w:u w:val="single"/>
    </w:rPr>
  </w:style>
  <w:style w:type="paragraph" w:customStyle="1" w:styleId="Standard">
    <w:name w:val="Standard"/>
    <w:rsid w:val="00E26CA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customStyle="1" w:styleId="Footnote">
    <w:name w:val="Footnote"/>
    <w:basedOn w:val="Standard"/>
    <w:rsid w:val="00E26CA6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ZCom">
    <w:name w:val="Z_Com"/>
    <w:basedOn w:val="Standard"/>
    <w:next w:val="ZDGName"/>
    <w:rsid w:val="00E26CA6"/>
    <w:pPr>
      <w:widowControl w:val="0"/>
      <w:autoSpaceDE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ZDGName">
    <w:name w:val="Z_DGName"/>
    <w:basedOn w:val="Standard"/>
    <w:rsid w:val="00E26CA6"/>
    <w:pPr>
      <w:widowControl w:val="0"/>
      <w:autoSpaceDE w:val="0"/>
      <w:spacing w:after="0" w:line="240" w:lineRule="auto"/>
      <w:ind w:right="85"/>
    </w:pPr>
    <w:rPr>
      <w:rFonts w:ascii="Arial" w:eastAsia="Times New Roman" w:hAnsi="Arial" w:cs="Arial"/>
      <w:sz w:val="16"/>
      <w:szCs w:val="16"/>
    </w:rPr>
  </w:style>
  <w:style w:type="paragraph" w:customStyle="1" w:styleId="NumPar1">
    <w:name w:val="NumPar 1"/>
    <w:basedOn w:val="Standard"/>
    <w:next w:val="Standard"/>
    <w:rsid w:val="00E26CA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Standard"/>
    <w:rsid w:val="00E26CA6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Standard"/>
    <w:rsid w:val="00E26CA6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Standard"/>
    <w:rsid w:val="00E26CA6"/>
    <w:pPr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Standard"/>
    <w:rsid w:val="00E26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E26CA6"/>
    <w:rPr>
      <w:color w:val="0000FF"/>
      <w:u w:val="single"/>
    </w:rPr>
  </w:style>
  <w:style w:type="character" w:styleId="FootnoteReference">
    <w:name w:val="footnote reference"/>
    <w:rsid w:val="00E26CA6"/>
    <w:rPr>
      <w:position w:val="0"/>
      <w:vertAlign w:val="superscript"/>
    </w:rPr>
  </w:style>
  <w:style w:type="paragraph" w:customStyle="1" w:styleId="Body">
    <w:name w:val="Body"/>
    <w:rsid w:val="001B1D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B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BC0"/>
    <w:rPr>
      <w:rFonts w:ascii="Tahoma" w:eastAsia="Lucida Sans Unicode" w:hAnsi="Tahoma" w:cs="Tahoma"/>
      <w:kern w:val="3"/>
      <w:sz w:val="16"/>
      <w:szCs w:val="16"/>
      <w:lang w:val="bg-BG"/>
    </w:rPr>
  </w:style>
  <w:style w:type="character" w:styleId="CommentReference">
    <w:name w:val="annotation reference"/>
    <w:uiPriority w:val="99"/>
    <w:semiHidden/>
    <w:unhideWhenUsed/>
    <w:rsid w:val="00344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B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4BC0"/>
    <w:rPr>
      <w:rFonts w:eastAsia="Lucida Sans Unicode" w:cs="Tahoma"/>
      <w:kern w:val="3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B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4BC0"/>
    <w:rPr>
      <w:rFonts w:eastAsia="Lucida Sans Unicode" w:cs="Tahoma"/>
      <w:b/>
      <w:bCs/>
      <w:kern w:val="3"/>
      <w:lang w:val="bg-BG"/>
    </w:rPr>
  </w:style>
  <w:style w:type="paragraph" w:styleId="Revision">
    <w:name w:val="Revision"/>
    <w:hidden/>
    <w:uiPriority w:val="99"/>
    <w:semiHidden/>
    <w:rsid w:val="009C68F6"/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F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C1F8B"/>
    <w:rPr>
      <w:rFonts w:eastAsia="Lucida Sans Unicode" w:cs="Tahoma"/>
      <w:kern w:val="3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5C05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Strong">
    <w:name w:val="Strong"/>
    <w:uiPriority w:val="22"/>
    <w:qFormat/>
    <w:rsid w:val="005C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geninfo/legal_notices_b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net1.cec.eu.int\COMP-Services\Direction-H\H-4\_forum\HT.2664%20Procedural%20Reform%20-%20Procedural%20Regulation\State%20Aid%20Modernisation%20Initiative%202011-2012\Documents%20and%20Settings\tenreca\wendlbe\Local%20Settings\Forum%20oth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BG/ALL/?uri=CELEX:52009XC0616(02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BG/ALL/?uri=CELEX:31999R0659" TargetMode="External"/><Relationship Id="rId2" Type="http://schemas.openxmlformats.org/officeDocument/2006/relationships/hyperlink" Target="http://eur-lex.europa.eu/legal-content/BG/TXT/?uri=CELEX:32015R1589" TargetMode="External"/><Relationship Id="rId1" Type="http://schemas.openxmlformats.org/officeDocument/2006/relationships/hyperlink" Target="http://eur-lex.europa.eu/legal-content/BG/TXT/?uri=CELEX:32015R1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38F2-7849-4618-B25D-E3754E5C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15967</CharactersWithSpaces>
  <SharedDoc>false</SharedDoc>
  <HLinks>
    <vt:vector size="36" baseType="variant"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http://ec.europa.eu/geninfo/legal_notices_en.htm</vt:lpwstr>
      </vt:variant>
      <vt:variant>
        <vt:lpwstr>personaldata</vt:lpwstr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\\net1.cec.eu.int\COMP-Services\Direction-H\H-4\_forum\HT.2664 Procedural Reform - Procedural Regulation\State Aid Modernisation Initiative 2011-2012\Documents and Settings\tenreca\wendlbe\Local Settings\Forum other</vt:lpwstr>
      </vt:variant>
      <vt:variant>
        <vt:lpwstr/>
      </vt:variant>
      <vt:variant>
        <vt:i4>3604602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http://eur-lex.europa.eu/LexUriServ/LexUriServ.do?uri=CELEX:52009XC0616(02):EN:NOT</vt:lpwstr>
      </vt:variant>
      <vt:variant>
        <vt:lpwstr/>
      </vt:variant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http://eur-lex.europa.eu/LexUriServ/LexUriServ.do?uri=CELEX:31999R0659:EN:NOT</vt:lpwstr>
      </vt:variant>
      <vt:variant>
        <vt:lpwstr/>
      </vt:variant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http://eur-lex.europa.eu/legal-content/EN/TXT/?uri=uriserv:OJ.L_.2015.248.01.0009.01.ENG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http://eur-lex.europa.eu/legal-content/EN/TXT/?uri=uriserv:OJ.L_.2015.248.01.0009.01.ENG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MICHEAU Claire (COMP);GROZEA Camelia (COMP)</dc:creator>
  <cp:lastModifiedBy>Ивелина Кирилова</cp:lastModifiedBy>
  <cp:revision>2</cp:revision>
  <cp:lastPrinted>2016-10-11T16:24:00Z</cp:lastPrinted>
  <dcterms:created xsi:type="dcterms:W3CDTF">2016-12-14T07:51:00Z</dcterms:created>
  <dcterms:modified xsi:type="dcterms:W3CDTF">2016-12-14T07:51:00Z</dcterms:modified>
</cp:coreProperties>
</file>