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7D6379" w:rsidRPr="007D6379" w:rsidRDefault="00203D9D" w:rsidP="00DB19B6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1</w:t>
      </w:r>
      <w:r w:rsidRPr="007D6379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</w:t>
      </w:r>
      <w:bookmarkStart w:id="0" w:name="_GoBack"/>
      <w:bookmarkEnd w:id="0"/>
      <w:r w:rsidRPr="007D6379">
        <w:rPr>
          <w:rFonts w:ascii="Cambria" w:hAnsi="Cambria"/>
          <w:sz w:val="20"/>
          <w:szCs w:val="20"/>
        </w:rPr>
        <w:t xml:space="preserve">си на управител, председател, пълномощник или друго, като към Декларацията се прилага </w:t>
      </w:r>
      <w:r w:rsidRPr="007D6379">
        <w:rPr>
          <w:rFonts w:ascii="Cambria" w:hAnsi="Cambria"/>
          <w:sz w:val="20"/>
          <w:szCs w:val="20"/>
        </w:rPr>
        <w:t>съответният документ,</w:t>
      </w:r>
      <w:r w:rsidR="000B7562" w:rsidRPr="007D6379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7D6379">
        <w:rPr>
          <w:rFonts w:ascii="Cambria" w:hAnsi="Cambria"/>
          <w:sz w:val="20"/>
          <w:szCs w:val="20"/>
          <w:lang w:val="en-US"/>
        </w:rPr>
        <w:t>.</w:t>
      </w:r>
    </w:p>
    <w:p w:rsidR="007D6379" w:rsidRDefault="00203D9D" w:rsidP="00FA3012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Информацията по </w:t>
      </w:r>
      <w:r w:rsidRPr="007D6379">
        <w:rPr>
          <w:rFonts w:ascii="Cambria" w:hAnsi="Cambria"/>
          <w:b/>
          <w:sz w:val="20"/>
          <w:szCs w:val="20"/>
        </w:rPr>
        <w:t>т. 4а</w:t>
      </w:r>
      <w:r w:rsidRPr="007D6379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</w:t>
      </w:r>
    </w:p>
    <w:p w:rsidR="007D6379" w:rsidRPr="007D6379" w:rsidRDefault="00203D9D" w:rsidP="009D4512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5</w:t>
      </w:r>
      <w:r w:rsidRPr="007D6379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7D6379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7D6379">
        <w:rPr>
          <w:rFonts w:ascii="Cambria" w:hAnsi="Cambria"/>
          <w:sz w:val="20"/>
          <w:szCs w:val="20"/>
          <w:lang w:val="en-US"/>
        </w:rPr>
        <w:t>.</w:t>
      </w:r>
    </w:p>
    <w:p w:rsidR="007D6379" w:rsidRPr="007D6379" w:rsidRDefault="00203D9D" w:rsidP="008D0583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В </w:t>
      </w:r>
      <w:r w:rsidRPr="007D6379">
        <w:rPr>
          <w:rFonts w:ascii="Cambria" w:hAnsi="Cambria"/>
          <w:b/>
          <w:sz w:val="20"/>
          <w:szCs w:val="20"/>
        </w:rPr>
        <w:t>т. 6</w:t>
      </w:r>
      <w:r w:rsidRPr="007D6379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7D6379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7D6379">
        <w:rPr>
          <w:rFonts w:ascii="Cambria" w:hAnsi="Cambria"/>
          <w:sz w:val="20"/>
          <w:szCs w:val="20"/>
          <w:lang w:val="en-US"/>
        </w:rPr>
        <w:t>.</w:t>
      </w:r>
    </w:p>
    <w:p w:rsidR="00203D9D" w:rsidRPr="007D6379" w:rsidRDefault="00203D9D" w:rsidP="008D0583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7D6379">
        <w:rPr>
          <w:rFonts w:ascii="Cambria" w:hAnsi="Cambria"/>
          <w:b/>
          <w:sz w:val="20"/>
          <w:szCs w:val="20"/>
        </w:rPr>
        <w:t xml:space="preserve"> т. 7</w:t>
      </w:r>
      <w:r w:rsidRPr="007D6379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1"/>
      </w:r>
      <w:r w:rsidRPr="007D6379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ListParagraph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</w:t>
      </w:r>
      <w:r w:rsidRPr="00C979E8">
        <w:rPr>
          <w:rFonts w:ascii="Cambria" w:hAnsi="Cambria"/>
          <w:sz w:val="20"/>
          <w:szCs w:val="20"/>
        </w:rPr>
        <w:t>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 xml:space="preserve">(съгласно чл. 3, пар. 8 и пар. 9 от Регламент (ЕС) № 1407/2013), се попълва и </w:t>
      </w:r>
      <w:r w:rsidR="00BE2549" w:rsidRPr="00C979E8">
        <w:rPr>
          <w:rFonts w:ascii="Cambria" w:hAnsi="Cambria"/>
          <w:sz w:val="20"/>
          <w:szCs w:val="20"/>
        </w:rPr>
        <w:t>Д</w:t>
      </w:r>
      <w:r w:rsidRPr="00C979E8">
        <w:rPr>
          <w:rFonts w:ascii="Cambria" w:hAnsi="Cambria"/>
          <w:sz w:val="20"/>
          <w:szCs w:val="20"/>
        </w:rPr>
        <w:t>екларация за преобразуването, която се разработва от администратора на помощ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2"/>
      </w:r>
      <w:r w:rsidRPr="00C979E8">
        <w:rPr>
          <w:rFonts w:ascii="Cambria" w:hAnsi="Cambria"/>
          <w:sz w:val="20"/>
          <w:szCs w:val="20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</w:t>
      </w:r>
      <w:r w:rsidR="009A7C74">
        <w:rPr>
          <w:rFonts w:ascii="Cambria" w:hAnsi="Cambria"/>
          <w:sz w:val="20"/>
          <w:szCs w:val="20"/>
        </w:rPr>
        <w:t xml:space="preserve"> и съгласно кой от регламент</w:t>
      </w:r>
      <w:r w:rsidR="0098241B">
        <w:rPr>
          <w:rFonts w:ascii="Cambria" w:hAnsi="Cambria"/>
          <w:sz w:val="20"/>
          <w:szCs w:val="20"/>
        </w:rPr>
        <w:t>ите за минимална помощ са получени</w:t>
      </w:r>
      <w:r w:rsidR="00BE2549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</w:t>
      </w:r>
      <w:r w:rsidR="0098241B">
        <w:rPr>
          <w:rFonts w:ascii="Cambria" w:hAnsi="Cambria"/>
          <w:sz w:val="20"/>
          <w:szCs w:val="20"/>
        </w:rPr>
        <w:t>/</w:t>
      </w:r>
      <w:r w:rsidR="0098241B" w:rsidRPr="007D6379">
        <w:rPr>
          <w:rFonts w:ascii="Cambria" w:hAnsi="Cambria"/>
          <w:sz w:val="20"/>
          <w:szCs w:val="20"/>
        </w:rPr>
        <w:t>ЕГН/Чуждестранен идентификационен</w:t>
      </w:r>
      <w:r w:rsidRPr="00C979E8">
        <w:rPr>
          <w:rFonts w:ascii="Cambria" w:hAnsi="Cambria"/>
          <w:sz w:val="20"/>
          <w:szCs w:val="20"/>
        </w:rPr>
        <w:t xml:space="preserve"> номер на предприятията, които образуват „едно и също предприятие“. Посочват </w:t>
      </w:r>
      <w:r w:rsidRPr="00C979E8">
        <w:rPr>
          <w:rFonts w:ascii="Cambria" w:hAnsi="Cambria"/>
          <w:sz w:val="20"/>
          <w:szCs w:val="20"/>
        </w:rPr>
        <w:t>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 xml:space="preserve">т. 12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7D6379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12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>т. 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</w:t>
      </w:r>
      <w:r w:rsidRPr="00C979E8">
        <w:rPr>
          <w:rFonts w:ascii="Cambria" w:hAnsi="Cambria"/>
          <w:sz w:val="20"/>
          <w:szCs w:val="20"/>
        </w:rPr>
        <w:t xml:space="preserve">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. Ако такова </w:t>
      </w:r>
      <w:r w:rsidRPr="00C979E8">
        <w:rPr>
          <w:rFonts w:ascii="Cambria" w:hAnsi="Cambria"/>
          <w:sz w:val="20"/>
          <w:szCs w:val="20"/>
        </w:rPr>
        <w:lastRenderedPageBreak/>
        <w:t xml:space="preserve">предоставяне не е възможно, помощта </w:t>
      </w:r>
      <w:r w:rsidR="00152EC7"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7D6379" w:rsidRDefault="007D6379" w:rsidP="007D637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В </w:t>
      </w:r>
      <w:r w:rsidR="00203D9D" w:rsidRPr="00C979E8">
        <w:rPr>
          <w:rFonts w:ascii="Cambria" w:hAnsi="Cambria"/>
          <w:b/>
          <w:sz w:val="20"/>
          <w:szCs w:val="20"/>
        </w:rPr>
        <w:t>т. 19а</w:t>
      </w:r>
      <w:r w:rsidR="00203D9D" w:rsidRPr="00C979E8"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203D9D" w:rsidRPr="007D6379" w:rsidRDefault="00203D9D" w:rsidP="007D6379">
      <w:pPr>
        <w:pStyle w:val="ListParagraph"/>
        <w:tabs>
          <w:tab w:val="left" w:pos="284"/>
          <w:tab w:val="left" w:pos="426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7D6379">
        <w:rPr>
          <w:rFonts w:ascii="Cambria" w:hAnsi="Cambria"/>
          <w:sz w:val="20"/>
          <w:szCs w:val="20"/>
        </w:rPr>
        <w:t xml:space="preserve">При посочен отговор „ДА“ в </w:t>
      </w:r>
      <w:r w:rsidRPr="007D6379">
        <w:rPr>
          <w:rFonts w:ascii="Cambria" w:hAnsi="Cambria"/>
          <w:b/>
          <w:sz w:val="20"/>
          <w:szCs w:val="20"/>
        </w:rPr>
        <w:t>т. 19</w:t>
      </w:r>
      <w:r w:rsidRPr="007D6379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</w:t>
      </w:r>
      <w:r w:rsidR="00152EC7" w:rsidRPr="007D6379">
        <w:rPr>
          <w:rFonts w:ascii="Cambria" w:hAnsi="Cambria"/>
          <w:sz w:val="20"/>
          <w:szCs w:val="20"/>
        </w:rPr>
        <w:t xml:space="preserve">към настоящия момент </w:t>
      </w:r>
      <w:r w:rsidRPr="007D6379">
        <w:rPr>
          <w:rFonts w:ascii="Cambria" w:hAnsi="Cambria"/>
          <w:sz w:val="20"/>
          <w:szCs w:val="20"/>
        </w:rPr>
        <w:t xml:space="preserve">получателят кандидатства за получаване на финансиране, следва да осъществи контакт с администратора/ите на помощта/ите по </w:t>
      </w:r>
      <w:r w:rsidRPr="007D6379">
        <w:rPr>
          <w:rFonts w:ascii="Cambria" w:hAnsi="Cambria"/>
          <w:b/>
          <w:sz w:val="20"/>
          <w:szCs w:val="20"/>
        </w:rPr>
        <w:t>т. 19а</w:t>
      </w:r>
      <w:r w:rsidRPr="007D6379">
        <w:rPr>
          <w:rFonts w:ascii="Cambria" w:hAnsi="Cambria"/>
          <w:sz w:val="20"/>
          <w:szCs w:val="20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</w:t>
      </w:r>
      <w:r w:rsidRPr="007D6379">
        <w:rPr>
          <w:rFonts w:ascii="Cambria" w:hAnsi="Cambria"/>
          <w:sz w:val="20"/>
          <w:szCs w:val="20"/>
        </w:rPr>
        <w:t>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лице</w:t>
      </w:r>
      <w:r w:rsidR="00A8575F">
        <w:rPr>
          <w:rFonts w:ascii="Cambria" w:hAnsi="Cambria"/>
          <w:sz w:val="20"/>
          <w:szCs w:val="20"/>
          <w:lang w:val="en-US"/>
        </w:rPr>
        <w:t xml:space="preserve"> </w:t>
      </w:r>
      <w:r w:rsidR="00A8575F">
        <w:rPr>
          <w:rFonts w:ascii="Cambria" w:hAnsi="Cambria"/>
          <w:sz w:val="20"/>
          <w:szCs w:val="20"/>
        </w:rPr>
        <w:t>по смисъла на чл. 9 от Закона за държавните помощи.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55182F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ListParagraph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2, пар.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A8575F" w:rsidRPr="00C979E8" w:rsidRDefault="00203D9D" w:rsidP="00A8575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C979E8">
        <w:rPr>
          <w:rFonts w:ascii="Cambria" w:hAnsi="Cambria"/>
          <w:b/>
          <w:sz w:val="20"/>
          <w:szCs w:val="20"/>
        </w:rPr>
        <w:t>може да се кумулира с минимална помощ за дейности по услуги от общ икономически интерес</w:t>
      </w:r>
      <w:r w:rsidRPr="00C979E8">
        <w:rPr>
          <w:rFonts w:ascii="Cambria" w:hAnsi="Cambria"/>
          <w:sz w:val="20"/>
          <w:szCs w:val="20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 xml:space="preserve">minimis, до съответния таван, определен в чл. 3, пар. </w:t>
      </w:r>
      <w:r w:rsidR="0055182F" w:rsidRPr="00C979E8">
        <w:rPr>
          <w:rFonts w:ascii="Cambria" w:hAnsi="Cambria"/>
          <w:sz w:val="20"/>
          <w:szCs w:val="20"/>
        </w:rPr>
        <w:t>2 от Регламент (ЕС) № 1407/2013.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2 от Регламент (ЕС) № 1407/2013, помощта </w:t>
      </w:r>
      <w:r w:rsidRPr="00C979E8">
        <w:rPr>
          <w:rFonts w:ascii="Cambria" w:hAnsi="Cambria"/>
          <w:b/>
          <w:sz w:val="20"/>
          <w:szCs w:val="20"/>
          <w:lang w:val="en-US"/>
        </w:rPr>
        <w:t>de</w:t>
      </w:r>
      <w:r w:rsidRPr="00C979E8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b/>
          <w:sz w:val="20"/>
          <w:szCs w:val="20"/>
          <w:lang w:val="en-US"/>
        </w:rPr>
        <w:t>minimis</w:t>
      </w:r>
      <w:r w:rsidRPr="00C979E8">
        <w:rPr>
          <w:rFonts w:ascii="Cambria" w:hAnsi="Cambria"/>
          <w:b/>
          <w:sz w:val="20"/>
          <w:szCs w:val="20"/>
        </w:rPr>
        <w:t xml:space="preserve"> може да се кумулира с държавна помощ, отпусната за същите допустими разходи</w:t>
      </w:r>
      <w:r w:rsidRPr="00C979E8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203D9D" w:rsidRPr="00C979E8" w:rsidSect="0044329C">
      <w:footerReference w:type="default" r:id="rId7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BB" w:rsidRDefault="005944BB" w:rsidP="0064640F">
      <w:pPr>
        <w:spacing w:after="0" w:line="240" w:lineRule="auto"/>
      </w:pPr>
      <w:r>
        <w:separator/>
      </w:r>
    </w:p>
  </w:endnote>
  <w:endnote w:type="continuationSeparator" w:id="0">
    <w:p w:rsidR="005944BB" w:rsidRDefault="005944BB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D" w:rsidRPr="00C979E8" w:rsidRDefault="00C979E8">
    <w:pPr>
      <w:pStyle w:val="Footer"/>
      <w:jc w:val="right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44329C">
      <w:rPr>
        <w:rFonts w:ascii="Cambria" w:hAnsi="Cambria"/>
        <w:noProof/>
        <w:sz w:val="20"/>
        <w:szCs w:val="20"/>
      </w:rPr>
      <w:t>2</w:t>
    </w:r>
    <w:r w:rsidRPr="00C979E8">
      <w:rPr>
        <w:rFonts w:ascii="Cambria" w:hAnsi="Cambria"/>
        <w:noProof/>
        <w:sz w:val="20"/>
        <w:szCs w:val="20"/>
      </w:rPr>
      <w:fldChar w:fldCharType="end"/>
    </w:r>
  </w:p>
  <w:p w:rsidR="00203D9D" w:rsidRDefault="0020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BB" w:rsidRDefault="005944BB" w:rsidP="0064640F">
      <w:pPr>
        <w:spacing w:after="0" w:line="240" w:lineRule="auto"/>
      </w:pPr>
      <w:r>
        <w:separator/>
      </w:r>
    </w:p>
  </w:footnote>
  <w:footnote w:type="continuationSeparator" w:id="0">
    <w:p w:rsidR="005944BB" w:rsidRDefault="005944BB" w:rsidP="0064640F">
      <w:pPr>
        <w:spacing w:after="0" w:line="240" w:lineRule="auto"/>
      </w:pPr>
      <w:r>
        <w:continuationSeparator/>
      </w:r>
    </w:p>
  </w:footnote>
  <w:footnote w:id="1">
    <w:p w:rsidR="00203D9D" w:rsidRPr="00C979E8" w:rsidRDefault="00203D9D" w:rsidP="0044329C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</w:t>
      </w:r>
      <w:r w:rsidRPr="00C979E8">
        <w:rPr>
          <w:rFonts w:ascii="Cambria" w:hAnsi="Cambria"/>
          <w:sz w:val="16"/>
          <w:szCs w:val="16"/>
        </w:rPr>
        <w:t>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  <w:footnote w:id="2">
    <w:p w:rsidR="00203D9D" w:rsidRDefault="00203D9D" w:rsidP="0044329C">
      <w:pPr>
        <w:pStyle w:val="FootnoteText"/>
        <w:ind w:hanging="284"/>
        <w:jc w:val="both"/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="00CD02E0">
        <w:rPr>
          <w:rFonts w:ascii="Cambria" w:hAnsi="Cambria"/>
          <w:sz w:val="16"/>
          <w:szCs w:val="16"/>
        </w:rPr>
        <w:t>По смисъла на чл. 9 от Закона за държавните помощи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4"/>
    <w:rsid w:val="000003D8"/>
    <w:rsid w:val="00007B0B"/>
    <w:rsid w:val="00010B69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EBD"/>
    <w:rsid w:val="000C6605"/>
    <w:rsid w:val="000D09BE"/>
    <w:rsid w:val="000D20FB"/>
    <w:rsid w:val="000E122B"/>
    <w:rsid w:val="000E6140"/>
    <w:rsid w:val="000F5BF7"/>
    <w:rsid w:val="000F6B16"/>
    <w:rsid w:val="000F6FF1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52EC7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5EAB"/>
    <w:rsid w:val="001B39E3"/>
    <w:rsid w:val="001C2125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4F5B"/>
    <w:rsid w:val="0025026B"/>
    <w:rsid w:val="002558C9"/>
    <w:rsid w:val="00263CE2"/>
    <w:rsid w:val="002640E6"/>
    <w:rsid w:val="002643F4"/>
    <w:rsid w:val="00282227"/>
    <w:rsid w:val="00286E74"/>
    <w:rsid w:val="00293CF4"/>
    <w:rsid w:val="002A06C1"/>
    <w:rsid w:val="002A5BD3"/>
    <w:rsid w:val="002B0836"/>
    <w:rsid w:val="002B0970"/>
    <w:rsid w:val="002B253D"/>
    <w:rsid w:val="002B6284"/>
    <w:rsid w:val="002B6670"/>
    <w:rsid w:val="002C29AD"/>
    <w:rsid w:val="002C3453"/>
    <w:rsid w:val="002C690E"/>
    <w:rsid w:val="002D3873"/>
    <w:rsid w:val="002D4A78"/>
    <w:rsid w:val="002E0A22"/>
    <w:rsid w:val="002E1C60"/>
    <w:rsid w:val="002E5368"/>
    <w:rsid w:val="002F0F8B"/>
    <w:rsid w:val="002F26CC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835AC"/>
    <w:rsid w:val="00386076"/>
    <w:rsid w:val="00386B48"/>
    <w:rsid w:val="00391215"/>
    <w:rsid w:val="00393120"/>
    <w:rsid w:val="00397BB1"/>
    <w:rsid w:val="003A352C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4329C"/>
    <w:rsid w:val="00457E73"/>
    <w:rsid w:val="004644D8"/>
    <w:rsid w:val="004668E8"/>
    <w:rsid w:val="00476C1E"/>
    <w:rsid w:val="00481990"/>
    <w:rsid w:val="00493389"/>
    <w:rsid w:val="0049377D"/>
    <w:rsid w:val="00493B48"/>
    <w:rsid w:val="00497143"/>
    <w:rsid w:val="004A21DF"/>
    <w:rsid w:val="004A314A"/>
    <w:rsid w:val="004A5A4B"/>
    <w:rsid w:val="004C5244"/>
    <w:rsid w:val="004D602A"/>
    <w:rsid w:val="004E204D"/>
    <w:rsid w:val="004F2DBB"/>
    <w:rsid w:val="004F3111"/>
    <w:rsid w:val="00512F89"/>
    <w:rsid w:val="005159D5"/>
    <w:rsid w:val="00520B33"/>
    <w:rsid w:val="0053648B"/>
    <w:rsid w:val="00541C60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44BB"/>
    <w:rsid w:val="005977DD"/>
    <w:rsid w:val="005A382E"/>
    <w:rsid w:val="005A4428"/>
    <w:rsid w:val="005A53C7"/>
    <w:rsid w:val="005B0A6D"/>
    <w:rsid w:val="005E2900"/>
    <w:rsid w:val="005F15EE"/>
    <w:rsid w:val="005F3BB3"/>
    <w:rsid w:val="006011A9"/>
    <w:rsid w:val="00602734"/>
    <w:rsid w:val="00603295"/>
    <w:rsid w:val="00605E4E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69D3"/>
    <w:rsid w:val="006C6EFB"/>
    <w:rsid w:val="006C780F"/>
    <w:rsid w:val="006D4B70"/>
    <w:rsid w:val="006E3808"/>
    <w:rsid w:val="006E58A7"/>
    <w:rsid w:val="006E7132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32563"/>
    <w:rsid w:val="00732AD6"/>
    <w:rsid w:val="007367F7"/>
    <w:rsid w:val="00762007"/>
    <w:rsid w:val="00763BEF"/>
    <w:rsid w:val="00767250"/>
    <w:rsid w:val="0077588A"/>
    <w:rsid w:val="00777AE3"/>
    <w:rsid w:val="007807D5"/>
    <w:rsid w:val="00791B01"/>
    <w:rsid w:val="00791CB7"/>
    <w:rsid w:val="007B2963"/>
    <w:rsid w:val="007B30B9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D6379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702FB"/>
    <w:rsid w:val="008768E1"/>
    <w:rsid w:val="008829B6"/>
    <w:rsid w:val="008858BE"/>
    <w:rsid w:val="00891B0F"/>
    <w:rsid w:val="00891C91"/>
    <w:rsid w:val="008A23CB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241B"/>
    <w:rsid w:val="00983A00"/>
    <w:rsid w:val="0098762B"/>
    <w:rsid w:val="00991B62"/>
    <w:rsid w:val="009A403E"/>
    <w:rsid w:val="009A5A05"/>
    <w:rsid w:val="009A786B"/>
    <w:rsid w:val="009A7C74"/>
    <w:rsid w:val="009B2A39"/>
    <w:rsid w:val="009B703D"/>
    <w:rsid w:val="009D08F1"/>
    <w:rsid w:val="009D569F"/>
    <w:rsid w:val="009D6958"/>
    <w:rsid w:val="009D7C76"/>
    <w:rsid w:val="009E1EDF"/>
    <w:rsid w:val="009E67A2"/>
    <w:rsid w:val="009F0943"/>
    <w:rsid w:val="009F637C"/>
    <w:rsid w:val="00A232D5"/>
    <w:rsid w:val="00A25025"/>
    <w:rsid w:val="00A33D38"/>
    <w:rsid w:val="00A427A4"/>
    <w:rsid w:val="00A42B0A"/>
    <w:rsid w:val="00A45124"/>
    <w:rsid w:val="00A618E3"/>
    <w:rsid w:val="00A66C57"/>
    <w:rsid w:val="00A67E3C"/>
    <w:rsid w:val="00A76BD9"/>
    <w:rsid w:val="00A8575F"/>
    <w:rsid w:val="00A92039"/>
    <w:rsid w:val="00A940BB"/>
    <w:rsid w:val="00A97301"/>
    <w:rsid w:val="00AA0E3D"/>
    <w:rsid w:val="00AA113F"/>
    <w:rsid w:val="00AA3475"/>
    <w:rsid w:val="00AC33CC"/>
    <w:rsid w:val="00AD0878"/>
    <w:rsid w:val="00AD163B"/>
    <w:rsid w:val="00AE3E45"/>
    <w:rsid w:val="00AE6A81"/>
    <w:rsid w:val="00AF3152"/>
    <w:rsid w:val="00B05388"/>
    <w:rsid w:val="00B0723B"/>
    <w:rsid w:val="00B11905"/>
    <w:rsid w:val="00B17706"/>
    <w:rsid w:val="00B17F8D"/>
    <w:rsid w:val="00B20E2C"/>
    <w:rsid w:val="00B31B66"/>
    <w:rsid w:val="00B31DC2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30C9"/>
    <w:rsid w:val="00BB6C56"/>
    <w:rsid w:val="00BB7D27"/>
    <w:rsid w:val="00BC3EA2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5050C"/>
    <w:rsid w:val="00C528C4"/>
    <w:rsid w:val="00C5308C"/>
    <w:rsid w:val="00C5374A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02E0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6730"/>
    <w:rsid w:val="00DD6742"/>
    <w:rsid w:val="00DD6B6D"/>
    <w:rsid w:val="00DE5C8C"/>
    <w:rsid w:val="00DF5358"/>
    <w:rsid w:val="00DF7F38"/>
    <w:rsid w:val="00E04E06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604B3"/>
    <w:rsid w:val="00E655CB"/>
    <w:rsid w:val="00E65E87"/>
    <w:rsid w:val="00E667B9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B2D35"/>
    <w:rsid w:val="00EB4477"/>
    <w:rsid w:val="00EC56FD"/>
    <w:rsid w:val="00ED25B2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1F40"/>
    <w:rsid w:val="00F80996"/>
    <w:rsid w:val="00F8258E"/>
    <w:rsid w:val="00F90D61"/>
    <w:rsid w:val="00F942A4"/>
    <w:rsid w:val="00F94A84"/>
    <w:rsid w:val="00F966CD"/>
    <w:rsid w:val="00FA3015"/>
    <w:rsid w:val="00FA4BEB"/>
    <w:rsid w:val="00FD3061"/>
    <w:rsid w:val="00FD6331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4EA3"/>
  <w15:docId w15:val="{6A315D34-4697-4C8B-B194-C7EB43F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11</cp:revision>
  <dcterms:created xsi:type="dcterms:W3CDTF">2014-07-14T09:17:00Z</dcterms:created>
  <dcterms:modified xsi:type="dcterms:W3CDTF">2018-06-12T09:25:00Z</dcterms:modified>
</cp:coreProperties>
</file>